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71C2" w:rsidRPr="004A178F" w:rsidRDefault="007071C2" w:rsidP="007071C2">
      <w:pPr>
        <w:pStyle w:val="Nincstrkz"/>
        <w:spacing w:line="360" w:lineRule="auto"/>
        <w:jc w:val="center"/>
        <w:rPr>
          <w:rFonts w:ascii="Arial" w:hAnsi="Arial" w:cs="Arial"/>
          <w:b/>
          <w:kern w:val="28"/>
        </w:rPr>
      </w:pPr>
      <w:r w:rsidRPr="004A178F">
        <w:rPr>
          <w:rFonts w:ascii="Arial" w:hAnsi="Arial" w:cs="Arial"/>
          <w:b/>
          <w:noProof/>
          <w:kern w:val="28"/>
        </w:rPr>
        <w:drawing>
          <wp:anchor distT="0" distB="0" distL="114300" distR="114300" simplePos="0" relativeHeight="251659264" behindDoc="0" locked="0" layoutInCell="1" allowOverlap="1" wp14:anchorId="2EB03D63" wp14:editId="3A2FC745">
            <wp:simplePos x="0" y="0"/>
            <wp:positionH relativeFrom="column">
              <wp:posOffset>28575</wp:posOffset>
            </wp:positionH>
            <wp:positionV relativeFrom="paragraph">
              <wp:posOffset>-88900</wp:posOffset>
            </wp:positionV>
            <wp:extent cx="881380" cy="1036320"/>
            <wp:effectExtent l="0" t="0" r="0" b="0"/>
            <wp:wrapNone/>
            <wp:docPr id="1" name="Kép 1" descr="C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Cime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81380" cy="1036320"/>
                    </a:xfrm>
                    <a:prstGeom prst="rect">
                      <a:avLst/>
                    </a:prstGeom>
                    <a:noFill/>
                  </pic:spPr>
                </pic:pic>
              </a:graphicData>
            </a:graphic>
            <wp14:sizeRelH relativeFrom="page">
              <wp14:pctWidth>0</wp14:pctWidth>
            </wp14:sizeRelH>
            <wp14:sizeRelV relativeFrom="page">
              <wp14:pctHeight>0</wp14:pctHeight>
            </wp14:sizeRelV>
          </wp:anchor>
        </w:drawing>
      </w:r>
      <w:r w:rsidRPr="004A178F">
        <w:rPr>
          <w:rFonts w:ascii="Arial" w:hAnsi="Arial" w:cs="Arial"/>
          <w:b/>
        </w:rPr>
        <w:t>Berhida Város Önkormányzat Polgármestere</w:t>
      </w:r>
    </w:p>
    <w:p w:rsidR="007071C2" w:rsidRPr="004A178F" w:rsidRDefault="007071C2" w:rsidP="007071C2">
      <w:pPr>
        <w:pStyle w:val="Nincstrkz"/>
        <w:spacing w:line="360" w:lineRule="auto"/>
        <w:jc w:val="center"/>
        <w:rPr>
          <w:rFonts w:ascii="Arial" w:hAnsi="Arial" w:cs="Arial"/>
          <w:iCs/>
        </w:rPr>
      </w:pPr>
      <w:r w:rsidRPr="004A178F">
        <w:rPr>
          <w:rFonts w:ascii="Arial" w:hAnsi="Arial" w:cs="Arial"/>
          <w:iCs/>
        </w:rPr>
        <w:t>8181 Berhida, Veszprémi u. 1-3.</w:t>
      </w:r>
    </w:p>
    <w:p w:rsidR="007071C2" w:rsidRPr="004A178F" w:rsidRDefault="007071C2" w:rsidP="00D409BB">
      <w:pPr>
        <w:pStyle w:val="Nincstrkz"/>
        <w:spacing w:line="360" w:lineRule="auto"/>
        <w:ind w:left="1416" w:firstLine="708"/>
        <w:rPr>
          <w:rFonts w:ascii="Arial" w:hAnsi="Arial" w:cs="Arial"/>
          <w:iCs/>
        </w:rPr>
      </w:pPr>
      <w:bookmarkStart w:id="0" w:name="_GoBack"/>
      <w:bookmarkEnd w:id="0"/>
      <w:r w:rsidRPr="004A178F">
        <w:rPr>
          <w:rFonts w:ascii="Arial" w:hAnsi="Arial" w:cs="Arial"/>
          <w:iCs/>
        </w:rPr>
        <w:t>Tel.:88/585-621, E-mail: polgarmester@berhida.hu</w:t>
      </w:r>
    </w:p>
    <w:p w:rsidR="007071C2" w:rsidRPr="004A178F" w:rsidRDefault="007071C2" w:rsidP="007071C2">
      <w:pPr>
        <w:tabs>
          <w:tab w:val="left" w:pos="7200"/>
        </w:tabs>
        <w:spacing w:after="0"/>
        <w:jc w:val="center"/>
        <w:rPr>
          <w:rFonts w:ascii="Arial" w:hAnsi="Arial" w:cs="Arial"/>
          <w:kern w:val="28"/>
          <w:szCs w:val="24"/>
        </w:rPr>
      </w:pPr>
    </w:p>
    <w:p w:rsidR="007071C2" w:rsidRPr="004A178F" w:rsidRDefault="007071C2" w:rsidP="007071C2">
      <w:pPr>
        <w:tabs>
          <w:tab w:val="left" w:pos="7200"/>
        </w:tabs>
        <w:spacing w:after="0"/>
        <w:jc w:val="center"/>
        <w:rPr>
          <w:rFonts w:ascii="Arial" w:hAnsi="Arial" w:cs="Arial"/>
          <w:kern w:val="28"/>
          <w:szCs w:val="24"/>
        </w:rPr>
      </w:pPr>
    </w:p>
    <w:p w:rsidR="007071C2" w:rsidRPr="00A65025" w:rsidRDefault="007071C2" w:rsidP="007071C2">
      <w:pPr>
        <w:tabs>
          <w:tab w:val="left" w:pos="7200"/>
        </w:tabs>
        <w:spacing w:after="0"/>
        <w:jc w:val="center"/>
        <w:rPr>
          <w:rFonts w:ascii="Arial" w:hAnsi="Arial" w:cs="Arial"/>
          <w:b/>
          <w:kern w:val="28"/>
          <w:szCs w:val="24"/>
        </w:rPr>
      </w:pPr>
      <w:r w:rsidRPr="00A65025">
        <w:rPr>
          <w:rFonts w:ascii="Arial" w:hAnsi="Arial" w:cs="Arial"/>
          <w:b/>
          <w:kern w:val="28"/>
          <w:szCs w:val="24"/>
        </w:rPr>
        <w:t>Előterjesztés a Képviselő-testület 201</w:t>
      </w:r>
      <w:r>
        <w:rPr>
          <w:rFonts w:ascii="Arial" w:hAnsi="Arial" w:cs="Arial"/>
          <w:b/>
          <w:kern w:val="28"/>
          <w:szCs w:val="24"/>
        </w:rPr>
        <w:t>9</w:t>
      </w:r>
      <w:r w:rsidRPr="00A65025">
        <w:rPr>
          <w:rFonts w:ascii="Arial" w:hAnsi="Arial" w:cs="Arial"/>
          <w:b/>
          <w:kern w:val="28"/>
          <w:szCs w:val="24"/>
        </w:rPr>
        <w:t xml:space="preserve">. </w:t>
      </w:r>
      <w:r>
        <w:rPr>
          <w:rFonts w:ascii="Arial" w:hAnsi="Arial" w:cs="Arial"/>
          <w:b/>
          <w:kern w:val="28"/>
          <w:szCs w:val="24"/>
        </w:rPr>
        <w:t>március</w:t>
      </w:r>
      <w:r w:rsidRPr="00A65025">
        <w:rPr>
          <w:rFonts w:ascii="Arial" w:hAnsi="Arial" w:cs="Arial"/>
          <w:b/>
          <w:kern w:val="28"/>
          <w:szCs w:val="24"/>
        </w:rPr>
        <w:t xml:space="preserve"> </w:t>
      </w:r>
      <w:r>
        <w:rPr>
          <w:rFonts w:ascii="Arial" w:hAnsi="Arial" w:cs="Arial"/>
          <w:b/>
          <w:kern w:val="28"/>
          <w:szCs w:val="24"/>
        </w:rPr>
        <w:t>28</w:t>
      </w:r>
      <w:r w:rsidRPr="00A65025">
        <w:rPr>
          <w:rFonts w:ascii="Arial" w:hAnsi="Arial" w:cs="Arial"/>
          <w:b/>
          <w:kern w:val="28"/>
          <w:szCs w:val="24"/>
        </w:rPr>
        <w:t>-</w:t>
      </w:r>
      <w:r>
        <w:rPr>
          <w:rFonts w:ascii="Arial" w:hAnsi="Arial" w:cs="Arial"/>
          <w:b/>
          <w:kern w:val="28"/>
          <w:szCs w:val="24"/>
        </w:rPr>
        <w:t>á</w:t>
      </w:r>
      <w:r w:rsidRPr="00A65025">
        <w:rPr>
          <w:rFonts w:ascii="Arial" w:hAnsi="Arial" w:cs="Arial"/>
          <w:b/>
          <w:kern w:val="28"/>
          <w:szCs w:val="24"/>
        </w:rPr>
        <w:t xml:space="preserve">n tartandó </w:t>
      </w:r>
      <w:r>
        <w:rPr>
          <w:rFonts w:ascii="Arial" w:hAnsi="Arial" w:cs="Arial"/>
          <w:b/>
          <w:kern w:val="28"/>
          <w:szCs w:val="24"/>
        </w:rPr>
        <w:t>rendes</w:t>
      </w:r>
      <w:r w:rsidRPr="00A65025">
        <w:rPr>
          <w:rFonts w:ascii="Arial" w:hAnsi="Arial" w:cs="Arial"/>
          <w:b/>
          <w:kern w:val="28"/>
          <w:szCs w:val="24"/>
        </w:rPr>
        <w:t xml:space="preserve"> ülésére</w:t>
      </w:r>
    </w:p>
    <w:p w:rsidR="007071C2" w:rsidRPr="004A178F" w:rsidRDefault="007071C2" w:rsidP="007071C2">
      <w:pPr>
        <w:tabs>
          <w:tab w:val="left" w:pos="7200"/>
        </w:tabs>
        <w:spacing w:after="0"/>
        <w:jc w:val="center"/>
        <w:rPr>
          <w:rFonts w:ascii="Arial" w:hAnsi="Arial" w:cs="Arial"/>
          <w:kern w:val="28"/>
          <w:szCs w:val="24"/>
        </w:rPr>
      </w:pPr>
    </w:p>
    <w:p w:rsidR="007071C2" w:rsidRPr="004A178F" w:rsidRDefault="007071C2" w:rsidP="007071C2">
      <w:pPr>
        <w:tabs>
          <w:tab w:val="left" w:pos="7200"/>
        </w:tabs>
        <w:spacing w:after="0"/>
        <w:jc w:val="center"/>
        <w:rPr>
          <w:rFonts w:ascii="Arial" w:hAnsi="Arial" w:cs="Arial"/>
          <w:kern w:val="28"/>
          <w:szCs w:val="24"/>
        </w:rPr>
      </w:pPr>
    </w:p>
    <w:p w:rsidR="007071C2" w:rsidRPr="00A65025" w:rsidRDefault="007071C2" w:rsidP="007071C2">
      <w:pPr>
        <w:tabs>
          <w:tab w:val="left" w:pos="7200"/>
        </w:tabs>
        <w:spacing w:after="0"/>
        <w:ind w:left="851" w:hanging="851"/>
        <w:jc w:val="center"/>
        <w:rPr>
          <w:rFonts w:ascii="Arial" w:hAnsi="Arial" w:cs="Arial"/>
          <w:b/>
          <w:kern w:val="28"/>
          <w:szCs w:val="24"/>
        </w:rPr>
      </w:pPr>
      <w:r w:rsidRPr="00A65025">
        <w:rPr>
          <w:rFonts w:ascii="Arial" w:hAnsi="Arial" w:cs="Arial"/>
          <w:b/>
          <w:kern w:val="28"/>
          <w:szCs w:val="24"/>
        </w:rPr>
        <w:t xml:space="preserve">Tárgy: </w:t>
      </w:r>
      <w:bookmarkStart w:id="1" w:name="_Hlk503774622"/>
      <w:bookmarkStart w:id="2" w:name="_Hlk505324576"/>
      <w:bookmarkStart w:id="3" w:name="_Hlk505938868"/>
      <w:r>
        <w:rPr>
          <w:rFonts w:ascii="Arial" w:hAnsi="Arial" w:cs="Arial"/>
          <w:b/>
          <w:kern w:val="28"/>
          <w:szCs w:val="24"/>
        </w:rPr>
        <w:t>Beszámoló a lakóhelyi környezet állapotáról</w:t>
      </w:r>
    </w:p>
    <w:bookmarkEnd w:id="1"/>
    <w:bookmarkEnd w:id="2"/>
    <w:bookmarkEnd w:id="3"/>
    <w:p w:rsidR="007071C2" w:rsidRPr="004A178F" w:rsidRDefault="007071C2" w:rsidP="007071C2">
      <w:pPr>
        <w:tabs>
          <w:tab w:val="left" w:pos="7200"/>
        </w:tabs>
        <w:spacing w:after="0"/>
        <w:jc w:val="center"/>
        <w:rPr>
          <w:rFonts w:ascii="Arial" w:hAnsi="Arial" w:cs="Arial"/>
          <w:kern w:val="28"/>
          <w:szCs w:val="24"/>
        </w:rPr>
      </w:pPr>
    </w:p>
    <w:p w:rsidR="007071C2" w:rsidRPr="004A178F" w:rsidRDefault="007071C2" w:rsidP="007071C2">
      <w:pPr>
        <w:tabs>
          <w:tab w:val="left" w:pos="7200"/>
        </w:tabs>
        <w:spacing w:after="0"/>
        <w:jc w:val="center"/>
        <w:rPr>
          <w:rFonts w:ascii="Arial" w:hAnsi="Arial" w:cs="Arial"/>
          <w:kern w:val="28"/>
          <w:szCs w:val="24"/>
        </w:rPr>
      </w:pPr>
    </w:p>
    <w:p w:rsidR="007071C2" w:rsidRPr="00B97220" w:rsidRDefault="007071C2" w:rsidP="00EB5ED1">
      <w:pPr>
        <w:tabs>
          <w:tab w:val="left" w:pos="7200"/>
        </w:tabs>
        <w:spacing w:after="0" w:line="276" w:lineRule="auto"/>
        <w:jc w:val="center"/>
        <w:rPr>
          <w:rFonts w:ascii="Arial" w:hAnsi="Arial" w:cs="Arial"/>
          <w:b/>
          <w:kern w:val="28"/>
          <w:szCs w:val="24"/>
        </w:rPr>
      </w:pPr>
      <w:r w:rsidRPr="00B97220">
        <w:rPr>
          <w:rFonts w:ascii="Arial" w:hAnsi="Arial" w:cs="Arial"/>
          <w:b/>
          <w:kern w:val="28"/>
          <w:szCs w:val="24"/>
        </w:rPr>
        <w:t>Tisztelt Képviselő-testület!</w:t>
      </w:r>
    </w:p>
    <w:p w:rsidR="007071C2" w:rsidRPr="00EB5ED1" w:rsidRDefault="007071C2" w:rsidP="00EB5ED1">
      <w:pPr>
        <w:tabs>
          <w:tab w:val="left" w:pos="7200"/>
        </w:tabs>
        <w:spacing w:after="0" w:line="276" w:lineRule="auto"/>
        <w:jc w:val="both"/>
        <w:rPr>
          <w:rFonts w:ascii="Arial" w:hAnsi="Arial" w:cs="Arial"/>
          <w:kern w:val="28"/>
          <w:szCs w:val="24"/>
        </w:rPr>
      </w:pPr>
    </w:p>
    <w:p w:rsidR="007071C2" w:rsidRPr="00EB5ED1" w:rsidRDefault="007071C2" w:rsidP="00EB5ED1">
      <w:pPr>
        <w:pStyle w:val="Szvegtrzs"/>
        <w:spacing w:after="0" w:line="276" w:lineRule="auto"/>
        <w:jc w:val="both"/>
        <w:rPr>
          <w:rFonts w:ascii="Arial" w:hAnsi="Arial" w:cs="Arial"/>
          <w:szCs w:val="24"/>
        </w:rPr>
      </w:pPr>
      <w:r w:rsidRPr="00EB5ED1">
        <w:rPr>
          <w:rFonts w:ascii="Arial" w:hAnsi="Arial" w:cs="Arial"/>
          <w:szCs w:val="24"/>
        </w:rPr>
        <w:t>A környezet védelmének általános szabályairól szóló 1995. évi LIII. tv. 51. § (3) bekezdése alapján, jelen előterjesztésben kívánom ismertetni városunk környezeti állapotának helyzetét.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0"/>
          <w:numId w:val="6"/>
        </w:numPr>
        <w:autoSpaceDE w:val="0"/>
        <w:autoSpaceDN w:val="0"/>
        <w:adjustRightInd w:val="0"/>
        <w:spacing w:after="0" w:line="276" w:lineRule="auto"/>
        <w:jc w:val="both"/>
        <w:rPr>
          <w:rFonts w:ascii="Arial" w:hAnsi="Arial" w:cs="Arial"/>
          <w:b/>
          <w:szCs w:val="24"/>
        </w:rPr>
      </w:pPr>
      <w:r w:rsidRPr="00EB5ED1">
        <w:rPr>
          <w:rFonts w:ascii="Arial" w:hAnsi="Arial" w:cs="Arial"/>
          <w:b/>
          <w:szCs w:val="24"/>
        </w:rPr>
        <w:t>Épített környezet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0B2DA0"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K</w:t>
      </w:r>
      <w:r w:rsidR="007071C2" w:rsidRPr="00EB5ED1">
        <w:rPr>
          <w:rFonts w:ascii="Arial" w:hAnsi="Arial" w:cs="Arial"/>
          <w:i/>
          <w:szCs w:val="24"/>
        </w:rPr>
        <w:t>özlekedés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Településünkön átmenő kamionforgalom komoly környezeti terhelést jelent, </w:t>
      </w:r>
      <w:r w:rsidRPr="00EB5ED1">
        <w:rPr>
          <w:rFonts w:ascii="Arial" w:eastAsia="HiddenHorzOCR" w:hAnsi="Arial" w:cs="Arial"/>
          <w:szCs w:val="24"/>
        </w:rPr>
        <w:t xml:space="preserve">főként </w:t>
      </w:r>
      <w:r w:rsidRPr="00EB5ED1">
        <w:rPr>
          <w:rFonts w:ascii="Arial" w:hAnsi="Arial" w:cs="Arial"/>
          <w:szCs w:val="24"/>
        </w:rPr>
        <w:t xml:space="preserve">a </w:t>
      </w:r>
      <w:r w:rsidRPr="00EB5ED1">
        <w:rPr>
          <w:rFonts w:ascii="Arial" w:eastAsia="HiddenHorzOCR" w:hAnsi="Arial" w:cs="Arial"/>
          <w:szCs w:val="24"/>
        </w:rPr>
        <w:t xml:space="preserve">jelentős </w:t>
      </w:r>
      <w:r w:rsidRPr="00EB5ED1">
        <w:rPr>
          <w:rFonts w:ascii="Arial" w:hAnsi="Arial" w:cs="Arial"/>
          <w:szCs w:val="24"/>
        </w:rPr>
        <w:t xml:space="preserve">ipari tevékenység körzetében (Peremarton városrész). Nagyfokú problémát jelent a településen – Berhidán – keresztülhajtó napi többszáz </w:t>
      </w:r>
      <w:r w:rsidRPr="00EB5ED1">
        <w:rPr>
          <w:rFonts w:ascii="Arial" w:eastAsia="HiddenHorzOCR" w:hAnsi="Arial" w:cs="Arial"/>
          <w:szCs w:val="24"/>
        </w:rPr>
        <w:t xml:space="preserve">jármű </w:t>
      </w:r>
      <w:r w:rsidRPr="00EB5ED1">
        <w:rPr>
          <w:rFonts w:ascii="Arial" w:hAnsi="Arial" w:cs="Arial"/>
          <w:szCs w:val="24"/>
        </w:rPr>
        <w:t>okozta zaj és rezgés mellett a Peremerton városrészen áthaladó</w:t>
      </w:r>
      <w:r w:rsidR="00601388" w:rsidRPr="00EB5ED1">
        <w:rPr>
          <w:rFonts w:ascii="Arial" w:hAnsi="Arial" w:cs="Arial"/>
          <w:szCs w:val="24"/>
        </w:rPr>
        <w:t>,</w:t>
      </w:r>
      <w:r w:rsidRPr="00EB5ED1">
        <w:rPr>
          <w:rFonts w:ascii="Arial" w:hAnsi="Arial" w:cs="Arial"/>
          <w:szCs w:val="24"/>
        </w:rPr>
        <w:t xml:space="preserve"> az Ipari Parkba </w:t>
      </w:r>
      <w:r w:rsidRPr="00EB5ED1">
        <w:rPr>
          <w:rFonts w:ascii="Arial" w:eastAsia="HiddenHorzOCR" w:hAnsi="Arial" w:cs="Arial"/>
          <w:szCs w:val="24"/>
        </w:rPr>
        <w:t xml:space="preserve">érkező </w:t>
      </w:r>
      <w:r w:rsidRPr="00EB5ED1">
        <w:rPr>
          <w:rFonts w:ascii="Arial" w:hAnsi="Arial" w:cs="Arial"/>
          <w:szCs w:val="24"/>
        </w:rPr>
        <w:t xml:space="preserve">kamionokat eligazító </w:t>
      </w:r>
      <w:r w:rsidRPr="00EB5ED1">
        <w:rPr>
          <w:rFonts w:ascii="Arial" w:eastAsia="HiddenHorzOCR" w:hAnsi="Arial" w:cs="Arial"/>
          <w:szCs w:val="24"/>
        </w:rPr>
        <w:t>jelzőtáblák, jelző</w:t>
      </w:r>
      <w:r w:rsidRPr="00EB5ED1">
        <w:rPr>
          <w:rFonts w:ascii="Arial" w:hAnsi="Arial" w:cs="Arial"/>
          <w:szCs w:val="24"/>
        </w:rPr>
        <w:t xml:space="preserve"> rendszerek (GPS) nem elégséges mennyisége, illetve </w:t>
      </w:r>
      <w:r w:rsidRPr="00EB5ED1">
        <w:rPr>
          <w:rFonts w:ascii="Arial" w:eastAsia="HiddenHorzOCR" w:hAnsi="Arial" w:cs="Arial"/>
          <w:szCs w:val="24"/>
        </w:rPr>
        <w:t xml:space="preserve">minősége. </w:t>
      </w:r>
      <w:r w:rsidRPr="00EB5ED1">
        <w:rPr>
          <w:rFonts w:ascii="Arial" w:hAnsi="Arial" w:cs="Arial"/>
          <w:szCs w:val="24"/>
        </w:rPr>
        <w:t xml:space="preserve">Ezáltal gyakorta nem a </w:t>
      </w:r>
      <w:r w:rsidRPr="00EB5ED1">
        <w:rPr>
          <w:rFonts w:ascii="Arial" w:eastAsia="HiddenHorzOCR" w:hAnsi="Arial" w:cs="Arial"/>
          <w:szCs w:val="24"/>
        </w:rPr>
        <w:t xml:space="preserve">megfelelő </w:t>
      </w:r>
      <w:r w:rsidRPr="00EB5ED1">
        <w:rPr>
          <w:rFonts w:ascii="Arial" w:hAnsi="Arial" w:cs="Arial"/>
          <w:szCs w:val="24"/>
        </w:rPr>
        <w:t xml:space="preserve">utakra, utcákba hajtanak be a </w:t>
      </w:r>
      <w:r w:rsidRPr="00EB5ED1">
        <w:rPr>
          <w:rFonts w:ascii="Arial" w:eastAsia="HiddenHorzOCR" w:hAnsi="Arial" w:cs="Arial"/>
          <w:szCs w:val="24"/>
        </w:rPr>
        <w:t>járművek</w:t>
      </w:r>
      <w:r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régebben felújított aszfaltos útjaink egy része repedezett, sok helyen megsüllyedt. Fontos ezen utak folyamatos helyreállítása, karbantartása. </w:t>
      </w:r>
      <w:r w:rsidR="00601388" w:rsidRPr="00EB5ED1">
        <w:rPr>
          <w:rFonts w:ascii="Arial" w:hAnsi="Arial" w:cs="Arial"/>
          <w:szCs w:val="24"/>
        </w:rPr>
        <w:t>Több olyan útszakasz is van</w:t>
      </w:r>
      <w:r w:rsidR="008F7146" w:rsidRPr="00EB5ED1">
        <w:rPr>
          <w:rFonts w:ascii="Arial" w:hAnsi="Arial" w:cs="Arial"/>
          <w:szCs w:val="24"/>
        </w:rPr>
        <w:t>,</w:t>
      </w:r>
      <w:r w:rsidR="00601388" w:rsidRPr="00EB5ED1">
        <w:rPr>
          <w:rFonts w:ascii="Arial" w:hAnsi="Arial" w:cs="Arial"/>
          <w:szCs w:val="24"/>
        </w:rPr>
        <w:t xml:space="preserve"> ahol a szennyvízaknák s</w:t>
      </w:r>
      <w:r w:rsidR="008F7146" w:rsidRPr="00EB5ED1">
        <w:rPr>
          <w:rFonts w:ascii="Arial" w:hAnsi="Arial" w:cs="Arial"/>
          <w:szCs w:val="24"/>
        </w:rPr>
        <w:t>üll</w:t>
      </w:r>
      <w:r w:rsidR="00601388" w:rsidRPr="00EB5ED1">
        <w:rPr>
          <w:rFonts w:ascii="Arial" w:hAnsi="Arial" w:cs="Arial"/>
          <w:szCs w:val="24"/>
        </w:rPr>
        <w:t xml:space="preserve">yedése, vagy annak ellenkezője – kiemelkedése – okoz problémát. </w:t>
      </w:r>
      <w:r w:rsidRPr="00EB5ED1">
        <w:rPr>
          <w:rFonts w:ascii="Arial" w:hAnsi="Arial" w:cs="Arial"/>
          <w:szCs w:val="24"/>
        </w:rPr>
        <w:t>A tavalyi évben az utak karban</w:t>
      </w:r>
      <w:r w:rsidR="008F7146" w:rsidRPr="00EB5ED1">
        <w:rPr>
          <w:rFonts w:ascii="Arial" w:hAnsi="Arial" w:cs="Arial"/>
          <w:szCs w:val="24"/>
        </w:rPr>
        <w:t>t</w:t>
      </w:r>
      <w:r w:rsidRPr="00EB5ED1">
        <w:rPr>
          <w:rFonts w:ascii="Arial" w:hAnsi="Arial" w:cs="Arial"/>
          <w:szCs w:val="24"/>
        </w:rPr>
        <w:t>artásában helyet kapott a Süni Óvoda előtti tér gréderezése is.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032ED4" w:rsidRPr="00EB5ED1" w:rsidRDefault="00601388"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Berhida Város Önkormányzata „Két keréken a munkába" – Berhida központ – Peremarton Iparterület között kerékpáros létesítmények kialakítása” c. pályázat keretében 259,82 millió forint vissza nem térítendő európai uniós támogatást nyert el, a Széchenyi 2020 program keretében.</w:t>
      </w:r>
    </w:p>
    <w:p w:rsidR="00032ED4" w:rsidRPr="00EB5ED1" w:rsidRDefault="00032ED4" w:rsidP="00EB5ED1">
      <w:pPr>
        <w:autoSpaceDE w:val="0"/>
        <w:autoSpaceDN w:val="0"/>
        <w:adjustRightInd w:val="0"/>
        <w:spacing w:after="0" w:line="276" w:lineRule="auto"/>
        <w:jc w:val="both"/>
        <w:rPr>
          <w:rFonts w:ascii="Arial" w:hAnsi="Arial" w:cs="Arial"/>
          <w:szCs w:val="24"/>
        </w:rPr>
      </w:pPr>
    </w:p>
    <w:p w:rsidR="007071C2" w:rsidRPr="00EB5ED1" w:rsidRDefault="00032ED4"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Az önkormányzat a kerékpárút kialakításával azt az elsődleges célt kívánja elérni, hogy megteremtse a fenntartható és környezetbarát közlekedés feltételeit és csökkentse a szén-dioxid kibocsátást. Emellett kiemelt szempont a kerékpárosok, a gyalogosok részére a közlekedés biztonságosabbá tétele. A városban újonnan épülő </w:t>
      </w:r>
      <w:r w:rsidRPr="00EB5ED1">
        <w:rPr>
          <w:rFonts w:ascii="Arial" w:hAnsi="Arial" w:cs="Arial"/>
          <w:szCs w:val="24"/>
        </w:rPr>
        <w:lastRenderedPageBreak/>
        <w:t>kerékpárút kialakítása a Dankó Pista, Liszt Ferenc, Széchenyi, Csokonai, Orgona utcákat érinteni. A tervezett kerékpárút hossza hozzávetőlegesen 3750 méter lesz. A projekt 2018. március 13. napján a támogatóval kötött szerződés aláírásával elkezdődött</w:t>
      </w:r>
      <w:r w:rsidR="004F5103" w:rsidRPr="00EB5ED1">
        <w:rPr>
          <w:rFonts w:ascii="Arial" w:hAnsi="Arial" w:cs="Arial"/>
          <w:szCs w:val="24"/>
        </w:rPr>
        <w:t xml:space="preserve">. </w:t>
      </w:r>
      <w:r w:rsidR="007071C2" w:rsidRPr="00EB5ED1">
        <w:rPr>
          <w:rFonts w:ascii="Arial" w:hAnsi="Arial" w:cs="Arial"/>
          <w:szCs w:val="24"/>
        </w:rPr>
        <w:t>Jelenleg folyamatban van a projekt kivitelezőjének közbeszerzés útján történő kiválasztása.</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Közvilágítás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Saját költségen elkészült az „ARD” telephez vezető közvilágítási lámpatestek és oszlopok E.ON hálózatára történő csatlakozása, mely egyik feltétele a Berhida Erkel Ferenc utca és „ARD” út</w:t>
      </w:r>
      <w:r w:rsidR="00601388" w:rsidRPr="00EB5ED1">
        <w:rPr>
          <w:rFonts w:ascii="Arial" w:hAnsi="Arial" w:cs="Arial"/>
          <w:szCs w:val="24"/>
        </w:rPr>
        <w:t xml:space="preserve"> forgalomba helyezésének</w:t>
      </w:r>
      <w:r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2018-as évben az SMHV Energetikai Kft. </w:t>
      </w:r>
      <w:r w:rsidR="006C6328" w:rsidRPr="00EB5ED1">
        <w:rPr>
          <w:rFonts w:ascii="Arial" w:hAnsi="Arial" w:cs="Arial"/>
          <w:szCs w:val="24"/>
        </w:rPr>
        <w:t>elkészítette</w:t>
      </w:r>
      <w:r w:rsidRPr="00EB5ED1">
        <w:rPr>
          <w:rFonts w:ascii="Arial" w:hAnsi="Arial" w:cs="Arial"/>
          <w:szCs w:val="24"/>
        </w:rPr>
        <w:t xml:space="preserve"> a település teljes területét érintő új közvilágítási terv</w:t>
      </w:r>
      <w:r w:rsidR="006C6328" w:rsidRPr="00EB5ED1">
        <w:rPr>
          <w:rFonts w:ascii="Arial" w:hAnsi="Arial" w:cs="Arial"/>
          <w:szCs w:val="24"/>
        </w:rPr>
        <w:t>ét</w:t>
      </w:r>
      <w:r w:rsidRPr="00EB5ED1">
        <w:rPr>
          <w:rFonts w:ascii="Arial" w:hAnsi="Arial" w:cs="Arial"/>
          <w:szCs w:val="24"/>
        </w:rPr>
        <w:t xml:space="preserve">, mely a város közigazgatási területén meglévő hagyományos </w:t>
      </w:r>
      <w:r w:rsidR="008F7146" w:rsidRPr="00EB5ED1">
        <w:rPr>
          <w:rFonts w:ascii="Arial" w:hAnsi="Arial" w:cs="Arial"/>
          <w:szCs w:val="24"/>
        </w:rPr>
        <w:t>lámpatesteket</w:t>
      </w:r>
      <w:r w:rsidRPr="00EB5ED1">
        <w:rPr>
          <w:rFonts w:ascii="Arial" w:hAnsi="Arial" w:cs="Arial"/>
          <w:szCs w:val="24"/>
        </w:rPr>
        <w:t xml:space="preserve"> cseréli korszerű LED-es lámpatestekre.</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Peremartonban a focipályán lévő villamos mérőóra helyet az önkormányzat saját költségén újra kialakította, mivel az E.ON a régit veszélyesnek, nem megfelelőnek nyilvánította</w:t>
      </w:r>
      <w:r w:rsidR="006C6328" w:rsidRPr="00EB5ED1">
        <w:rPr>
          <w:rFonts w:ascii="Arial" w:hAnsi="Arial" w:cs="Arial"/>
          <w:szCs w:val="24"/>
        </w:rPr>
        <w:t>, azt megszüntette</w:t>
      </w:r>
      <w:r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Játszótereink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3D67B6" w:rsidRPr="00EB5ED1" w:rsidRDefault="003D67B6"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shd w:val="clear" w:color="auto" w:fill="FFFFFF"/>
        </w:rPr>
        <w:t>A játék rendkívül fontos szerepet tölt be a gyermekek fejlődési folyamatában. A játszótéren található játékok tanulást segítő eszközök, ismeretszerzést tesznek lehetővé, teljesen kötetlen gyakorlási lehetőséget jelentenek. Segítenek a tájékozódás, az egyensúly fejlesztésében, a magasság és távolság felmérésében, a használatuk során végzett erőkifejtés növeli a fizikai erőt.</w:t>
      </w:r>
    </w:p>
    <w:p w:rsidR="007832A6" w:rsidRPr="00EB5ED1" w:rsidRDefault="007832A6"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A 2018-as évben újra felül kellet vizsgálni a játszótéri eszközöket</w:t>
      </w:r>
      <w:r w:rsidR="007832A6" w:rsidRPr="00EB5ED1">
        <w:rPr>
          <w:rFonts w:ascii="Arial" w:hAnsi="Arial" w:cs="Arial"/>
          <w:szCs w:val="24"/>
        </w:rPr>
        <w:t xml:space="preserve">, melyet </w:t>
      </w:r>
      <w:r w:rsidR="007832A6" w:rsidRPr="00EB5ED1">
        <w:rPr>
          <w:rFonts w:ascii="Arial" w:hAnsi="Arial" w:cs="Arial"/>
          <w:iCs/>
          <w:szCs w:val="24"/>
          <w:shd w:val="clear" w:color="auto" w:fill="FFFFFF"/>
        </w:rPr>
        <w:t>a játszótéri eszközök biztonságosságáról szóló 78/2003.(XI.27.) GKM rendelet ír elő</w:t>
      </w:r>
      <w:r w:rsidR="007832A6"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832A6" w:rsidRPr="00EB5ED1" w:rsidRDefault="007832A6"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shd w:val="clear" w:color="auto" w:fill="FFFFFF"/>
        </w:rPr>
        <w:t xml:space="preserve">A vonatkozó rendelet kimondja, hogy </w:t>
      </w:r>
      <w:r w:rsidRPr="00EB5ED1">
        <w:rPr>
          <w:rStyle w:val="Kiemels2"/>
          <w:rFonts w:ascii="Arial" w:hAnsi="Arial" w:cs="Arial"/>
          <w:b w:val="0"/>
          <w:szCs w:val="24"/>
          <w:bdr w:val="none" w:sz="0" w:space="0" w:color="auto" w:frame="1"/>
        </w:rPr>
        <w:t xml:space="preserve">a játszótéri eszköz üzemeltetőjének a játszótéri eszköz időszakos ellenőrzését az időszakos ellenőrzés végzésére engedéllyel rendelkező szervezettel </w:t>
      </w:r>
      <w:r w:rsidRPr="00EB5ED1">
        <w:rPr>
          <w:rStyle w:val="Kiemels"/>
          <w:rFonts w:ascii="Arial" w:hAnsi="Arial" w:cs="Arial"/>
          <w:b/>
          <w:bCs/>
          <w:szCs w:val="24"/>
          <w:bdr w:val="none" w:sz="0" w:space="0" w:color="auto" w:frame="1"/>
        </w:rPr>
        <w:t>négyévenként</w:t>
      </w:r>
      <w:r w:rsidRPr="00EB5ED1">
        <w:rPr>
          <w:rStyle w:val="Kiemels2"/>
          <w:rFonts w:ascii="Arial" w:hAnsi="Arial" w:cs="Arial"/>
          <w:b w:val="0"/>
          <w:szCs w:val="24"/>
          <w:bdr w:val="none" w:sz="0" w:space="0" w:color="auto" w:frame="1"/>
        </w:rPr>
        <w:t xml:space="preserve"> kell elvégeztetni. A játszótéri eszközök időszakos ellenőrzése a biztonságossági követelményeknek való megfelelőségre, azok biztonsági állapotára, telepítési feltételeinek megfelelőségére irányul.</w:t>
      </w:r>
    </w:p>
    <w:p w:rsidR="007832A6" w:rsidRPr="00EB5ED1" w:rsidRDefault="007832A6" w:rsidP="00EB5ED1">
      <w:pPr>
        <w:autoSpaceDE w:val="0"/>
        <w:autoSpaceDN w:val="0"/>
        <w:adjustRightInd w:val="0"/>
        <w:spacing w:after="0" w:line="276" w:lineRule="auto"/>
        <w:jc w:val="both"/>
        <w:rPr>
          <w:rFonts w:ascii="Arial" w:hAnsi="Arial" w:cs="Arial"/>
          <w:szCs w:val="24"/>
        </w:rPr>
      </w:pPr>
    </w:p>
    <w:p w:rsidR="006C6328" w:rsidRPr="00EB5ED1" w:rsidRDefault="006C6328" w:rsidP="00EB5ED1">
      <w:pPr>
        <w:autoSpaceDE w:val="0"/>
        <w:autoSpaceDN w:val="0"/>
        <w:adjustRightInd w:val="0"/>
        <w:spacing w:after="0" w:line="276" w:lineRule="auto"/>
        <w:jc w:val="both"/>
        <w:rPr>
          <w:rFonts w:ascii="Arial" w:hAnsi="Arial" w:cs="Arial"/>
          <w:szCs w:val="24"/>
        </w:rPr>
      </w:pPr>
      <w:r w:rsidRPr="00EB5ED1">
        <w:rPr>
          <w:rFonts w:ascii="Arial" w:eastAsia="HiddenHorzOCR" w:hAnsi="Arial" w:cs="Arial"/>
          <w:szCs w:val="24"/>
        </w:rPr>
        <w:t xml:space="preserve">Jelentős </w:t>
      </w:r>
      <w:r w:rsidRPr="00EB5ED1">
        <w:rPr>
          <w:rFonts w:ascii="Arial" w:hAnsi="Arial" w:cs="Arial"/>
          <w:szCs w:val="24"/>
        </w:rPr>
        <w:t xml:space="preserve">költséget okoznak </w:t>
      </w:r>
      <w:r w:rsidR="008F7146" w:rsidRPr="00EB5ED1">
        <w:rPr>
          <w:rFonts w:ascii="Arial" w:hAnsi="Arial" w:cs="Arial"/>
          <w:szCs w:val="24"/>
        </w:rPr>
        <w:t>a megrongált</w:t>
      </w:r>
      <w:r w:rsidRPr="00EB5ED1">
        <w:rPr>
          <w:rFonts w:ascii="Arial" w:hAnsi="Arial" w:cs="Arial"/>
          <w:szCs w:val="24"/>
        </w:rPr>
        <w:t xml:space="preserve"> vagy az </w:t>
      </w:r>
      <w:r w:rsidRPr="00EB5ED1">
        <w:rPr>
          <w:rFonts w:ascii="Arial" w:eastAsia="HiddenHorzOCR" w:hAnsi="Arial" w:cs="Arial"/>
          <w:szCs w:val="24"/>
        </w:rPr>
        <w:t xml:space="preserve">időjárás </w:t>
      </w:r>
      <w:r w:rsidRPr="00EB5ED1">
        <w:rPr>
          <w:rFonts w:ascii="Arial" w:hAnsi="Arial" w:cs="Arial"/>
          <w:szCs w:val="24"/>
        </w:rPr>
        <w:t>következtében elhasználódott játszóeszközök padok, szemetesek helyreállítása, karbantartása. (pl.: javítás, festés). A tavalyi évben sajnos nem</w:t>
      </w:r>
      <w:r w:rsidR="00580101">
        <w:rPr>
          <w:rFonts w:ascii="Arial" w:hAnsi="Arial" w:cs="Arial"/>
          <w:szCs w:val="24"/>
        </w:rPr>
        <w:t xml:space="preserve"> </w:t>
      </w:r>
      <w:r w:rsidRPr="00EB5ED1">
        <w:rPr>
          <w:rFonts w:ascii="Arial" w:hAnsi="Arial" w:cs="Arial"/>
          <w:szCs w:val="24"/>
        </w:rPr>
        <w:t>lehetett használni a Peremartonban lévő játszótéri ivókutat, mivel annak ivóvíz minősége nem felelt meg az előírásoknak.</w:t>
      </w:r>
    </w:p>
    <w:p w:rsidR="006C6328" w:rsidRDefault="006C6328" w:rsidP="00EB5ED1">
      <w:pPr>
        <w:autoSpaceDE w:val="0"/>
        <w:autoSpaceDN w:val="0"/>
        <w:adjustRightInd w:val="0"/>
        <w:spacing w:after="0" w:line="276" w:lineRule="auto"/>
        <w:jc w:val="both"/>
        <w:rPr>
          <w:rFonts w:ascii="Arial" w:hAnsi="Arial" w:cs="Arial"/>
          <w:szCs w:val="24"/>
        </w:rPr>
      </w:pPr>
    </w:p>
    <w:p w:rsidR="00EB5ED1" w:rsidRPr="00EB5ED1" w:rsidRDefault="00EB5ED1"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Temetők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2"/>
          <w:numId w:val="6"/>
        </w:numPr>
        <w:autoSpaceDE w:val="0"/>
        <w:autoSpaceDN w:val="0"/>
        <w:adjustRightInd w:val="0"/>
        <w:spacing w:after="0" w:line="276" w:lineRule="auto"/>
        <w:ind w:left="567" w:hanging="567"/>
        <w:jc w:val="both"/>
        <w:rPr>
          <w:rFonts w:ascii="Arial" w:hAnsi="Arial" w:cs="Arial"/>
          <w:i/>
          <w:szCs w:val="24"/>
        </w:rPr>
      </w:pPr>
      <w:r w:rsidRPr="00EB5ED1">
        <w:rPr>
          <w:rFonts w:ascii="Arial" w:hAnsi="Arial" w:cs="Arial"/>
          <w:i/>
          <w:szCs w:val="24"/>
        </w:rPr>
        <w:t>Köztemető</w:t>
      </w:r>
      <w:r w:rsidR="008446F5" w:rsidRPr="00EB5ED1">
        <w:rPr>
          <w:rFonts w:ascii="Arial" w:hAnsi="Arial" w:cs="Arial"/>
          <w:i/>
          <w:szCs w:val="24"/>
        </w:rPr>
        <w:t>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w:t>
      </w:r>
      <w:r w:rsidRPr="00EB5ED1">
        <w:rPr>
          <w:rFonts w:ascii="Arial" w:eastAsia="HiddenHorzOCR" w:hAnsi="Arial" w:cs="Arial"/>
          <w:szCs w:val="24"/>
        </w:rPr>
        <w:t>temetőkert</w:t>
      </w:r>
      <w:r w:rsidR="00363F27" w:rsidRPr="00EB5ED1">
        <w:rPr>
          <w:rFonts w:ascii="Arial" w:eastAsia="HiddenHorzOCR" w:hAnsi="Arial" w:cs="Arial"/>
          <w:szCs w:val="24"/>
        </w:rPr>
        <w:t>ek</w:t>
      </w:r>
      <w:r w:rsidRPr="00EB5ED1">
        <w:rPr>
          <w:rFonts w:ascii="Arial" w:eastAsia="HiddenHorzOCR" w:hAnsi="Arial" w:cs="Arial"/>
          <w:szCs w:val="24"/>
        </w:rPr>
        <w:t xml:space="preserve"> </w:t>
      </w:r>
      <w:r w:rsidRPr="00EB5ED1">
        <w:rPr>
          <w:rFonts w:ascii="Arial" w:hAnsi="Arial" w:cs="Arial"/>
          <w:szCs w:val="24"/>
        </w:rPr>
        <w:t xml:space="preserve">a </w:t>
      </w:r>
      <w:r w:rsidR="007F68B7" w:rsidRPr="00EB5ED1">
        <w:rPr>
          <w:rFonts w:ascii="Arial" w:hAnsi="Arial" w:cs="Arial"/>
          <w:color w:val="000000"/>
          <w:szCs w:val="24"/>
          <w:shd w:val="clear" w:color="auto" w:fill="FFFFFF"/>
        </w:rPr>
        <w:t>Település Ellátó és Szolgáltató Szervezet (</w:t>
      </w:r>
      <w:r w:rsidR="008F7146" w:rsidRPr="00EB5ED1">
        <w:rPr>
          <w:rFonts w:ascii="Arial" w:hAnsi="Arial" w:cs="Arial"/>
          <w:color w:val="000000"/>
          <w:szCs w:val="24"/>
          <w:shd w:val="clear" w:color="auto" w:fill="FFFFFF"/>
        </w:rPr>
        <w:t>továbbiakban: TESZ</w:t>
      </w:r>
      <w:r w:rsidR="007F68B7" w:rsidRPr="00EB5ED1">
        <w:rPr>
          <w:rFonts w:ascii="Arial" w:hAnsi="Arial" w:cs="Arial"/>
          <w:color w:val="000000"/>
          <w:szCs w:val="24"/>
          <w:shd w:val="clear" w:color="auto" w:fill="FFFFFF"/>
        </w:rPr>
        <w:t xml:space="preserve">) </w:t>
      </w:r>
      <w:r w:rsidRPr="00EB5ED1">
        <w:rPr>
          <w:rFonts w:ascii="Arial" w:hAnsi="Arial" w:cs="Arial"/>
          <w:szCs w:val="24"/>
        </w:rPr>
        <w:t>által folyamatosan gondozott</w:t>
      </w:r>
      <w:r w:rsidR="00363F27" w:rsidRPr="00EB5ED1">
        <w:rPr>
          <w:rFonts w:ascii="Arial" w:hAnsi="Arial" w:cs="Arial"/>
          <w:szCs w:val="24"/>
        </w:rPr>
        <w:t>ak</w:t>
      </w:r>
      <w:r w:rsidRPr="00EB5ED1">
        <w:rPr>
          <w:rFonts w:ascii="Arial" w:hAnsi="Arial" w:cs="Arial"/>
          <w:szCs w:val="24"/>
        </w:rPr>
        <w:t xml:space="preserve">. A Kiskovácsi temetőben </w:t>
      </w:r>
      <w:r w:rsidR="00A94878">
        <w:rPr>
          <w:rFonts w:ascii="Arial" w:hAnsi="Arial" w:cs="Arial"/>
          <w:szCs w:val="24"/>
        </w:rPr>
        <w:t xml:space="preserve">a növényzet </w:t>
      </w:r>
      <w:r w:rsidRPr="00EB5ED1">
        <w:rPr>
          <w:rFonts w:ascii="Arial" w:hAnsi="Arial" w:cs="Arial"/>
          <w:szCs w:val="24"/>
        </w:rPr>
        <w:t>tisztítás</w:t>
      </w:r>
      <w:r w:rsidR="00363F27" w:rsidRPr="00EB5ED1">
        <w:rPr>
          <w:rFonts w:ascii="Arial" w:hAnsi="Arial" w:cs="Arial"/>
          <w:szCs w:val="24"/>
        </w:rPr>
        <w:t>át folyamatosan</w:t>
      </w:r>
      <w:r w:rsidRPr="00EB5ED1">
        <w:rPr>
          <w:rFonts w:ascii="Arial" w:hAnsi="Arial" w:cs="Arial"/>
          <w:szCs w:val="24"/>
        </w:rPr>
        <w:t xml:space="preserve"> végez</w:t>
      </w:r>
      <w:r w:rsidR="00363F27" w:rsidRPr="00EB5ED1">
        <w:rPr>
          <w:rFonts w:ascii="Arial" w:hAnsi="Arial" w:cs="Arial"/>
          <w:szCs w:val="24"/>
        </w:rPr>
        <w:t>zük.</w:t>
      </w:r>
      <w:r w:rsidRPr="00EB5ED1">
        <w:rPr>
          <w:rFonts w:ascii="Arial" w:hAnsi="Arial" w:cs="Arial"/>
          <w:szCs w:val="24"/>
        </w:rPr>
        <w:t xml:space="preserve"> </w:t>
      </w:r>
      <w:r w:rsidR="00363F27" w:rsidRPr="00EB5ED1">
        <w:rPr>
          <w:rFonts w:ascii="Arial" w:hAnsi="Arial" w:cs="Arial"/>
          <w:szCs w:val="24"/>
        </w:rPr>
        <w:t>E</w:t>
      </w:r>
      <w:r w:rsidRPr="00EB5ED1">
        <w:rPr>
          <w:rFonts w:ascii="Arial" w:hAnsi="Arial" w:cs="Arial"/>
          <w:szCs w:val="24"/>
        </w:rPr>
        <w:t>l kell végezni a Veszp</w:t>
      </w:r>
      <w:r w:rsidR="00363F27" w:rsidRPr="00EB5ED1">
        <w:rPr>
          <w:rFonts w:ascii="Arial" w:hAnsi="Arial" w:cs="Arial"/>
          <w:szCs w:val="24"/>
        </w:rPr>
        <w:t>r</w:t>
      </w:r>
      <w:r w:rsidRPr="00EB5ED1">
        <w:rPr>
          <w:rFonts w:ascii="Arial" w:hAnsi="Arial" w:cs="Arial"/>
          <w:szCs w:val="24"/>
        </w:rPr>
        <w:t xml:space="preserve">ém Megyei Kormányhivatal Várpalotai Járási Hivatalának kötelezettségében előírtakat, miszerint szükséges a </w:t>
      </w:r>
      <w:r w:rsidR="00363F27" w:rsidRPr="00EB5ED1">
        <w:rPr>
          <w:rFonts w:ascii="Arial" w:hAnsi="Arial" w:cs="Arial"/>
          <w:szCs w:val="24"/>
        </w:rPr>
        <w:t xml:space="preserve">Kiskovácsi </w:t>
      </w:r>
      <w:r w:rsidRPr="00EB5ED1">
        <w:rPr>
          <w:rFonts w:ascii="Arial" w:hAnsi="Arial" w:cs="Arial"/>
          <w:szCs w:val="24"/>
        </w:rPr>
        <w:t>temetőben ravatalozót és a mozgáskorlátozottak számára is elérhető illemhelyet biztosítani.</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2"/>
          <w:numId w:val="6"/>
        </w:numPr>
        <w:autoSpaceDE w:val="0"/>
        <w:autoSpaceDN w:val="0"/>
        <w:adjustRightInd w:val="0"/>
        <w:spacing w:after="0" w:line="276" w:lineRule="auto"/>
        <w:ind w:left="567" w:hanging="567"/>
        <w:jc w:val="both"/>
        <w:rPr>
          <w:rFonts w:ascii="Arial" w:hAnsi="Arial" w:cs="Arial"/>
          <w:i/>
          <w:szCs w:val="24"/>
        </w:rPr>
      </w:pPr>
      <w:r w:rsidRPr="00EB5ED1">
        <w:rPr>
          <w:rFonts w:ascii="Arial" w:hAnsi="Arial" w:cs="Arial"/>
          <w:i/>
          <w:szCs w:val="24"/>
        </w:rPr>
        <w:t>Egyéb nem köztemető</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C11142" w:rsidRPr="00EB5ED1" w:rsidRDefault="006C6328" w:rsidP="00EB5ED1">
      <w:pPr>
        <w:autoSpaceDE w:val="0"/>
        <w:autoSpaceDN w:val="0"/>
        <w:adjustRightInd w:val="0"/>
        <w:spacing w:after="0" w:line="276" w:lineRule="auto"/>
        <w:jc w:val="both"/>
        <w:rPr>
          <w:rFonts w:ascii="Arial" w:hAnsi="Arial" w:cs="Arial"/>
          <w:szCs w:val="24"/>
          <w:shd w:val="clear" w:color="auto" w:fill="FFFFFF"/>
        </w:rPr>
      </w:pPr>
      <w:r w:rsidRPr="00EB5ED1">
        <w:rPr>
          <w:rFonts w:ascii="Arial" w:hAnsi="Arial" w:cs="Arial"/>
          <w:szCs w:val="24"/>
          <w:shd w:val="clear" w:color="auto" w:fill="FFFFFF"/>
        </w:rPr>
        <w:t>A berhidai zsidó temető a város nyugati részén, a Vilonya felé vezető Veszprémi út bal oldalán, a Táncsics Mihály és a Rózsa Ferenc utca között terül el, közel 1300 négyzetméteren. A sírkertbe körülbelül a negyvenes évek eleje óta nem temetkeztek, így a közel hetven sírhelyet magába foglaló terület az elmúlt évtizedekben teljesen elhanyagolttá vált.</w:t>
      </w:r>
      <w:r w:rsidR="00C11142" w:rsidRPr="00EB5ED1">
        <w:rPr>
          <w:rFonts w:ascii="Arial" w:hAnsi="Arial" w:cs="Arial"/>
          <w:szCs w:val="24"/>
          <w:shd w:val="clear" w:color="auto" w:fill="FFFFFF"/>
        </w:rPr>
        <w:t xml:space="preserve"> A temető Magyarországi Zsidó Hitközségek Szövetsége (MAZSIHISZ) tulajdona.</w:t>
      </w:r>
    </w:p>
    <w:p w:rsidR="006C6328" w:rsidRPr="00EB5ED1" w:rsidRDefault="006C6328"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37408F">
        <w:rPr>
          <w:rFonts w:ascii="Arial" w:hAnsi="Arial" w:cs="Arial"/>
          <w:szCs w:val="24"/>
        </w:rPr>
        <w:t xml:space="preserve">A tavalyi év őszén pályázati forrásból </w:t>
      </w:r>
      <w:r w:rsidR="0037408F" w:rsidRPr="0037408F">
        <w:rPr>
          <w:rFonts w:ascii="Arial" w:hAnsi="Arial" w:cs="Arial"/>
          <w:szCs w:val="24"/>
        </w:rPr>
        <w:t>megvalósult</w:t>
      </w:r>
      <w:r w:rsidRPr="0037408F">
        <w:rPr>
          <w:rFonts w:ascii="Arial" w:hAnsi="Arial" w:cs="Arial"/>
          <w:szCs w:val="24"/>
        </w:rPr>
        <w:t xml:space="preserve"> temető</w:t>
      </w:r>
      <w:r w:rsidR="00A94878" w:rsidRPr="0037408F">
        <w:rPr>
          <w:rFonts w:ascii="Arial" w:hAnsi="Arial" w:cs="Arial"/>
          <w:szCs w:val="24"/>
        </w:rPr>
        <w:t xml:space="preserve"> </w:t>
      </w:r>
      <w:r w:rsidR="0037408F" w:rsidRPr="0037408F">
        <w:rPr>
          <w:rFonts w:ascii="Arial" w:hAnsi="Arial" w:cs="Arial"/>
          <w:szCs w:val="24"/>
        </w:rPr>
        <w:t>sírkertjének tereprendezése</w:t>
      </w:r>
      <w:r w:rsidR="00C11142" w:rsidRPr="0037408F">
        <w:rPr>
          <w:rFonts w:ascii="Arial" w:hAnsi="Arial" w:cs="Arial"/>
          <w:szCs w:val="24"/>
        </w:rPr>
        <w:t xml:space="preserve"> és elkész</w:t>
      </w:r>
      <w:r w:rsidR="0037408F" w:rsidRPr="0037408F">
        <w:rPr>
          <w:rFonts w:ascii="Arial" w:hAnsi="Arial" w:cs="Arial"/>
          <w:szCs w:val="24"/>
        </w:rPr>
        <w:t>ült</w:t>
      </w:r>
      <w:r w:rsidR="00C11142" w:rsidRPr="0037408F">
        <w:rPr>
          <w:rFonts w:ascii="Arial" w:hAnsi="Arial" w:cs="Arial"/>
          <w:szCs w:val="24"/>
        </w:rPr>
        <w:t xml:space="preserve"> az új</w:t>
      </w:r>
      <w:r w:rsidRPr="0037408F">
        <w:rPr>
          <w:rFonts w:ascii="Arial" w:hAnsi="Arial" w:cs="Arial"/>
          <w:szCs w:val="24"/>
        </w:rPr>
        <w:t xml:space="preserve"> kerítés</w:t>
      </w:r>
      <w:r w:rsidR="0037408F" w:rsidRPr="0037408F">
        <w:rPr>
          <w:rFonts w:ascii="Arial" w:hAnsi="Arial" w:cs="Arial"/>
          <w:szCs w:val="24"/>
        </w:rPr>
        <w:t>, amely</w:t>
      </w:r>
      <w:r w:rsidRPr="0037408F">
        <w:rPr>
          <w:rFonts w:ascii="Arial" w:hAnsi="Arial" w:cs="Arial"/>
          <w:szCs w:val="24"/>
        </w:rPr>
        <w:t xml:space="preserve"> közel </w:t>
      </w:r>
      <w:proofErr w:type="gramStart"/>
      <w:r w:rsidRPr="0037408F">
        <w:rPr>
          <w:rFonts w:ascii="Arial" w:hAnsi="Arial" w:cs="Arial"/>
          <w:szCs w:val="24"/>
        </w:rPr>
        <w:t>1.800.000,-</w:t>
      </w:r>
      <w:proofErr w:type="gramEnd"/>
      <w:r w:rsidRPr="0037408F">
        <w:rPr>
          <w:rFonts w:ascii="Arial" w:hAnsi="Arial" w:cs="Arial"/>
          <w:szCs w:val="24"/>
        </w:rPr>
        <w:t>Ft</w:t>
      </w:r>
      <w:r w:rsidR="00C11142" w:rsidRPr="0037408F">
        <w:rPr>
          <w:rFonts w:ascii="Arial" w:hAnsi="Arial" w:cs="Arial"/>
          <w:szCs w:val="24"/>
        </w:rPr>
        <w:t>-ba került</w:t>
      </w:r>
      <w:r w:rsidRPr="0037408F">
        <w:rPr>
          <w:rFonts w:ascii="Arial" w:hAnsi="Arial" w:cs="Arial"/>
          <w:szCs w:val="24"/>
        </w:rPr>
        <w:t>.</w:t>
      </w:r>
    </w:p>
    <w:p w:rsidR="00C11142" w:rsidRPr="00EB5ED1" w:rsidRDefault="00C1114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Magántulajdonú épületek karbantartása</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NormlWeb"/>
        <w:spacing w:before="0" w:beforeAutospacing="0" w:after="0" w:afterAutospacing="0" w:line="276" w:lineRule="auto"/>
        <w:jc w:val="both"/>
        <w:rPr>
          <w:rFonts w:ascii="Arial" w:hAnsi="Arial" w:cs="Arial"/>
        </w:rPr>
      </w:pPr>
      <w:r w:rsidRPr="00EB5ED1">
        <w:rPr>
          <w:rFonts w:ascii="Arial" w:hAnsi="Arial" w:cs="Arial"/>
          <w:bCs/>
        </w:rPr>
        <w:t>Az építőipari kivitelezési tevékenységről</w:t>
      </w:r>
      <w:r w:rsidRPr="00EB5ED1">
        <w:rPr>
          <w:rFonts w:ascii="Arial" w:hAnsi="Arial" w:cs="Arial"/>
        </w:rPr>
        <w:t xml:space="preserve"> szóló </w:t>
      </w:r>
      <w:r w:rsidRPr="00EB5ED1">
        <w:rPr>
          <w:rFonts w:ascii="Arial" w:hAnsi="Arial" w:cs="Arial"/>
          <w:bCs/>
        </w:rPr>
        <w:t>191/2009. (IX. 15.) Korm. rendelet</w:t>
      </w:r>
      <w:r w:rsidRPr="00EB5ED1">
        <w:rPr>
          <w:rFonts w:ascii="Arial" w:hAnsi="Arial" w:cs="Arial"/>
        </w:rPr>
        <w:t xml:space="preserve"> 34. § (5) bekezdésében „Az építmény tulajdonosa jókarbantartási kötelezettsége teljesítésének keretében köteles az építmény</w:t>
      </w:r>
    </w:p>
    <w:p w:rsidR="007071C2" w:rsidRPr="00EB5ED1" w:rsidRDefault="007071C2" w:rsidP="00EB5ED1">
      <w:pPr>
        <w:pStyle w:val="NormlWeb"/>
        <w:spacing w:before="0" w:beforeAutospacing="0" w:after="0" w:afterAutospacing="0" w:line="276" w:lineRule="auto"/>
        <w:ind w:firstLine="180"/>
        <w:jc w:val="both"/>
        <w:rPr>
          <w:rFonts w:ascii="Arial" w:hAnsi="Arial" w:cs="Arial"/>
        </w:rPr>
      </w:pPr>
      <w:r w:rsidRPr="00EB5ED1">
        <w:rPr>
          <w:rFonts w:ascii="Arial" w:hAnsi="Arial" w:cs="Arial"/>
          <w:i/>
          <w:iCs/>
        </w:rPr>
        <w:t>a)</w:t>
      </w:r>
      <w:r w:rsidRPr="00EB5ED1">
        <w:rPr>
          <w:rFonts w:ascii="Arial" w:hAnsi="Arial" w:cs="Arial"/>
        </w:rPr>
        <w:t xml:space="preserve"> jó műszaki állapotához szükséges munkálatokat elvégeztetni, és</w:t>
      </w:r>
    </w:p>
    <w:p w:rsidR="007071C2" w:rsidRPr="00EB5ED1" w:rsidRDefault="007071C2" w:rsidP="00EB5ED1">
      <w:pPr>
        <w:pStyle w:val="NormlWeb"/>
        <w:spacing w:before="0" w:beforeAutospacing="0" w:after="0" w:afterAutospacing="0" w:line="276" w:lineRule="auto"/>
        <w:ind w:firstLine="180"/>
        <w:jc w:val="both"/>
        <w:rPr>
          <w:rFonts w:ascii="Arial" w:hAnsi="Arial" w:cs="Arial"/>
        </w:rPr>
      </w:pPr>
      <w:r w:rsidRPr="00EB5ED1">
        <w:rPr>
          <w:rFonts w:ascii="Arial" w:hAnsi="Arial" w:cs="Arial"/>
          <w:i/>
          <w:iCs/>
        </w:rPr>
        <w:t>b)</w:t>
      </w:r>
      <w:r w:rsidRPr="00EB5ED1">
        <w:rPr>
          <w:rFonts w:ascii="Arial" w:hAnsi="Arial" w:cs="Arial"/>
        </w:rPr>
        <w:t xml:space="preserve"> rendeltetésszerű és biztonságos használhatóságát folyamatosan biztosítani.”</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Az elhanyagolt, balesetveszélyes épületek helyreállítására egy esetben (Berhida, Kiskovácsi utca 58.) tettünk bejelentést a Várpalotai Építéshatóságra, akik helyszíni szemlét követően kötelez</w:t>
      </w:r>
      <w:r w:rsidR="008C2EBC" w:rsidRPr="00EB5ED1">
        <w:rPr>
          <w:rFonts w:ascii="Arial" w:hAnsi="Arial" w:cs="Arial"/>
          <w:szCs w:val="24"/>
        </w:rPr>
        <w:t>ték</w:t>
      </w:r>
      <w:r w:rsidRPr="00EB5ED1">
        <w:rPr>
          <w:rFonts w:ascii="Arial" w:hAnsi="Arial" w:cs="Arial"/>
          <w:szCs w:val="24"/>
        </w:rPr>
        <w:t xml:space="preserve"> az épület tulajdonosát a karbantartási munkák elvégzésére.</w:t>
      </w:r>
    </w:p>
    <w:p w:rsidR="007071C2" w:rsidRPr="00EB5ED1" w:rsidRDefault="007071C2" w:rsidP="00EB5ED1">
      <w:pPr>
        <w:autoSpaceDE w:val="0"/>
        <w:autoSpaceDN w:val="0"/>
        <w:adjustRightInd w:val="0"/>
        <w:spacing w:after="0" w:line="276" w:lineRule="auto"/>
        <w:rPr>
          <w:rFonts w:ascii="Arial" w:hAnsi="Arial" w:cs="Arial"/>
          <w:szCs w:val="24"/>
        </w:rPr>
      </w:pPr>
    </w:p>
    <w:p w:rsidR="007071C2" w:rsidRPr="00EB5ED1" w:rsidRDefault="007071C2" w:rsidP="00EB5ED1">
      <w:pPr>
        <w:pStyle w:val="Listaszerbekezds"/>
        <w:numPr>
          <w:ilvl w:val="0"/>
          <w:numId w:val="6"/>
        </w:numPr>
        <w:autoSpaceDE w:val="0"/>
        <w:autoSpaceDN w:val="0"/>
        <w:adjustRightInd w:val="0"/>
        <w:spacing w:after="0" w:line="276" w:lineRule="auto"/>
        <w:jc w:val="both"/>
        <w:rPr>
          <w:rFonts w:ascii="Arial" w:hAnsi="Arial" w:cs="Arial"/>
          <w:b/>
          <w:szCs w:val="24"/>
        </w:rPr>
      </w:pPr>
      <w:r w:rsidRPr="00EB5ED1">
        <w:rPr>
          <w:rFonts w:ascii="Arial" w:hAnsi="Arial" w:cs="Arial"/>
          <w:b/>
          <w:szCs w:val="24"/>
        </w:rPr>
        <w:t>Felszín alatti és felszín feletti vízelvezetés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Felszín feletti vizek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spacing w:after="0" w:line="276" w:lineRule="auto"/>
        <w:jc w:val="both"/>
        <w:rPr>
          <w:rFonts w:ascii="Arial" w:hAnsi="Arial" w:cs="Arial"/>
          <w:szCs w:val="24"/>
        </w:rPr>
      </w:pPr>
      <w:r w:rsidRPr="00EB5ED1">
        <w:rPr>
          <w:rFonts w:ascii="Arial" w:hAnsi="Arial" w:cs="Arial"/>
          <w:szCs w:val="24"/>
        </w:rPr>
        <w:t xml:space="preserve">A település a Veszprémi-Séd vízfolyás vízgyűjtő területén van. A vízfolyás kezelője a KDT Környezetvédelmi és Vízügyi Igazgatóság. A vízfolyás a csapadékvizek befogadója is egyben. A patakpart Királyszentistvántól – Ősi-ig terjedő szakaszának tereprendezése, fásítása megtörtént. Településünkön ár- és belvízveszélyes terület nem található. A település nagyobb hányada a vízfolyás bal partján helyezkedik el, a </w:t>
      </w:r>
      <w:r w:rsidRPr="00EB5ED1">
        <w:rPr>
          <w:rFonts w:ascii="Arial" w:hAnsi="Arial" w:cs="Arial"/>
          <w:szCs w:val="24"/>
        </w:rPr>
        <w:lastRenderedPageBreak/>
        <w:t>felszín csaknem egyenletes esést mutat a vízfolyás felé. A patak irányára merőlegesen haladó főutak képezik a csapadék elvezető rendszer gerincét, ezek mellett épültek ki a főgyűjtő árkok, melyek 4 ponton torkollnak a veszprémi Sédbe.</w:t>
      </w:r>
    </w:p>
    <w:p w:rsidR="00EB5ED1" w:rsidRDefault="00EB5ED1"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belterületi árkok karbantartását, medertisztítás, kaszálás, hulladékmentesítés a </w:t>
      </w:r>
      <w:r w:rsidR="007F68B7" w:rsidRPr="00EB5ED1">
        <w:rPr>
          <w:rFonts w:ascii="Arial" w:hAnsi="Arial" w:cs="Arial"/>
          <w:szCs w:val="24"/>
        </w:rPr>
        <w:t>TESZ</w:t>
      </w:r>
      <w:r w:rsidRPr="00EB5ED1">
        <w:rPr>
          <w:rFonts w:ascii="Arial" w:hAnsi="Arial" w:cs="Arial"/>
          <w:szCs w:val="24"/>
        </w:rPr>
        <w:t xml:space="preserve"> folyamatosan végzi.</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spacing w:after="0" w:line="276" w:lineRule="auto"/>
        <w:jc w:val="both"/>
        <w:rPr>
          <w:rFonts w:ascii="Arial" w:hAnsi="Arial" w:cs="Arial"/>
          <w:szCs w:val="24"/>
        </w:rPr>
      </w:pPr>
      <w:r w:rsidRPr="00EB5ED1">
        <w:rPr>
          <w:rFonts w:ascii="Arial" w:hAnsi="Arial" w:cs="Arial"/>
          <w:szCs w:val="24"/>
        </w:rPr>
        <w:t>A csapadékvíz elvezető rendszer állapota változó. A központi területeken a csatornák zártak vagy burkolt medrűek, ezek nagy része a közelmúltban épült ki, műszaki állapotuk megfelelő. A rendszer további részein nyílt földmedrű árkok vannak. Ezek műszaki állapota, kiépítettsége, valamint fenntartottsága nem kielégítő. A kapubejárók alatti átereszek fenékszintje és keresztmetszete több esetben kifogásolható.</w:t>
      </w:r>
    </w:p>
    <w:p w:rsidR="007071C2" w:rsidRPr="00EB5ED1" w:rsidRDefault="000B2DA0" w:rsidP="00EB5ED1">
      <w:pPr>
        <w:spacing w:after="0" w:line="276" w:lineRule="auto"/>
        <w:jc w:val="both"/>
        <w:rPr>
          <w:rFonts w:ascii="Arial" w:hAnsi="Arial" w:cs="Arial"/>
          <w:szCs w:val="24"/>
        </w:rPr>
      </w:pPr>
      <w:r w:rsidRPr="00EB5ED1">
        <w:rPr>
          <w:rFonts w:ascii="Arial" w:hAnsi="Arial" w:cs="Arial"/>
          <w:szCs w:val="24"/>
        </w:rPr>
        <w:t xml:space="preserve">A 2011-ben készült </w:t>
      </w:r>
      <w:r w:rsidR="007071C2" w:rsidRPr="00EB5ED1">
        <w:rPr>
          <w:rFonts w:ascii="Arial" w:hAnsi="Arial" w:cs="Arial"/>
          <w:szCs w:val="24"/>
        </w:rPr>
        <w:t>Berhida belterületi vízrendezésének terve 2018-as évben újabb két</w:t>
      </w:r>
      <w:r w:rsidR="00A94878">
        <w:rPr>
          <w:rFonts w:ascii="Arial" w:hAnsi="Arial" w:cs="Arial"/>
          <w:szCs w:val="24"/>
        </w:rPr>
        <w:t xml:space="preserve"> </w:t>
      </w:r>
      <w:r w:rsidR="007071C2" w:rsidRPr="00EB5ED1">
        <w:rPr>
          <w:rFonts w:ascii="Arial" w:hAnsi="Arial" w:cs="Arial"/>
          <w:szCs w:val="24"/>
        </w:rPr>
        <w:t xml:space="preserve">évre </w:t>
      </w:r>
      <w:r w:rsidRPr="00EB5ED1">
        <w:rPr>
          <w:rFonts w:ascii="Arial" w:hAnsi="Arial" w:cs="Arial"/>
          <w:szCs w:val="24"/>
        </w:rPr>
        <w:t>megkapta a kivitelezéshez az engedélyt</w:t>
      </w:r>
      <w:r w:rsidR="007071C2" w:rsidRPr="00EB5ED1">
        <w:rPr>
          <w:rFonts w:ascii="Arial" w:hAnsi="Arial" w:cs="Arial"/>
          <w:szCs w:val="24"/>
        </w:rPr>
        <w:t xml:space="preserve">. A két év leteltével – </w:t>
      </w:r>
      <w:r w:rsidR="008F7146" w:rsidRPr="00EB5ED1">
        <w:rPr>
          <w:rFonts w:ascii="Arial" w:hAnsi="Arial" w:cs="Arial"/>
          <w:szCs w:val="24"/>
        </w:rPr>
        <w:t>valószínűsíthető</w:t>
      </w:r>
      <w:r w:rsidR="007071C2" w:rsidRPr="00EB5ED1">
        <w:rPr>
          <w:rFonts w:ascii="Arial" w:hAnsi="Arial" w:cs="Arial"/>
          <w:szCs w:val="24"/>
        </w:rPr>
        <w:t xml:space="preserve"> – hogy új terv készítése válik szükségessé</w:t>
      </w:r>
      <w:r w:rsidRPr="00EB5ED1">
        <w:rPr>
          <w:rFonts w:ascii="Arial" w:hAnsi="Arial" w:cs="Arial"/>
          <w:szCs w:val="24"/>
        </w:rPr>
        <w:t>.</w:t>
      </w:r>
    </w:p>
    <w:p w:rsidR="007071C2" w:rsidRPr="00EB5ED1" w:rsidRDefault="007071C2" w:rsidP="00EB5ED1">
      <w:pPr>
        <w:spacing w:after="0" w:line="276" w:lineRule="auto"/>
        <w:jc w:val="both"/>
        <w:rPr>
          <w:rFonts w:ascii="Arial" w:hAnsi="Arial" w:cs="Arial"/>
          <w:szCs w:val="24"/>
        </w:rPr>
      </w:pPr>
    </w:p>
    <w:p w:rsidR="007071C2" w:rsidRPr="00EB5ED1" w:rsidRDefault="007071C2" w:rsidP="00EB5ED1">
      <w:pPr>
        <w:spacing w:after="0" w:line="276" w:lineRule="auto"/>
        <w:jc w:val="both"/>
        <w:rPr>
          <w:rFonts w:ascii="Arial" w:hAnsi="Arial" w:cs="Arial"/>
          <w:szCs w:val="24"/>
        </w:rPr>
      </w:pPr>
      <w:r w:rsidRPr="00EB5ED1">
        <w:rPr>
          <w:rFonts w:ascii="Arial" w:hAnsi="Arial" w:cs="Arial"/>
          <w:szCs w:val="24"/>
        </w:rPr>
        <w:t>A meglévő belterületi vízrendezési tanulmányterv alapján tovább kell folytatni a csapadékvíz elvezető árkok kiépítését. Ez a közfoglalkoztatás keretében is ütemezhető feladat.</w:t>
      </w:r>
    </w:p>
    <w:p w:rsidR="007071C2" w:rsidRPr="00EB5ED1" w:rsidRDefault="007071C2" w:rsidP="00EB5ED1">
      <w:pPr>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Felszín alatti vizek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A 2018-as év második felében egyre többe</w:t>
      </w:r>
      <w:r w:rsidR="00A94878">
        <w:rPr>
          <w:rFonts w:ascii="Arial" w:hAnsi="Arial" w:cs="Arial"/>
          <w:szCs w:val="24"/>
        </w:rPr>
        <w:t>t</w:t>
      </w:r>
      <w:r w:rsidRPr="00EB5ED1">
        <w:rPr>
          <w:rFonts w:ascii="Arial" w:hAnsi="Arial" w:cs="Arial"/>
          <w:szCs w:val="24"/>
        </w:rPr>
        <w:t xml:space="preserve"> lehetett hallani a fúrt és ásott kutak bejelentéséről, </w:t>
      </w:r>
      <w:r w:rsidR="000B2DA0" w:rsidRPr="00EB5ED1">
        <w:rPr>
          <w:rFonts w:ascii="Arial" w:hAnsi="Arial" w:cs="Arial"/>
          <w:szCs w:val="24"/>
        </w:rPr>
        <w:t xml:space="preserve">fennmaradási engedélyezéséről, és az újonnan fúrt, vagy ásott kutak </w:t>
      </w:r>
      <w:r w:rsidRPr="00EB5ED1">
        <w:rPr>
          <w:rFonts w:ascii="Arial" w:hAnsi="Arial" w:cs="Arial"/>
          <w:szCs w:val="24"/>
        </w:rPr>
        <w:t>engedélyezéséről.</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vízgazdálkodási hatósági jogkör gyakorlásáról szóló 72/1996. (V. 22.) Korm. rendelet (továbbiakban: 72/1996. (V. 22.) Korm. r.) 2016. június 15-én hatályba lépett módosítása átalakította a vízgazdálkodással kapcsolatos települési önkormányzat jegyzőjéhez delegált hatósági jogköröket, mely változást hozott a kutak engedélyezésében is. Emellett a vízgazdálkodásról szóló 1995. évi LVII. törvény (továbbiakban: </w:t>
      </w:r>
      <w:r w:rsidR="008F7146" w:rsidRPr="00EB5ED1">
        <w:rPr>
          <w:rFonts w:ascii="Arial" w:hAnsi="Arial" w:cs="Arial"/>
          <w:szCs w:val="24"/>
        </w:rPr>
        <w:t>Vg tv</w:t>
      </w:r>
      <w:r w:rsidRPr="00EB5ED1">
        <w:rPr>
          <w:rFonts w:ascii="Arial" w:hAnsi="Arial" w:cs="Arial"/>
          <w:szCs w:val="24"/>
        </w:rPr>
        <w:t xml:space="preserve">.) 2016. június 4-i módosítása beiktatta a törvénybe a 29. § (7) bekezdést, amely 2018. december 31-ig mentesíti a vízgazdálkodási bírság kiszabása alól azokat a létesítőket, akik a </w:t>
      </w:r>
      <w:r w:rsidR="008F7146" w:rsidRPr="00EB5ED1">
        <w:rPr>
          <w:rFonts w:ascii="Arial" w:hAnsi="Arial" w:cs="Arial"/>
          <w:szCs w:val="24"/>
        </w:rPr>
        <w:t>Vg tv</w:t>
      </w:r>
      <w:r w:rsidRPr="00EB5ED1">
        <w:rPr>
          <w:rFonts w:ascii="Arial" w:hAnsi="Arial" w:cs="Arial"/>
          <w:szCs w:val="24"/>
        </w:rPr>
        <w:t>. e módosítása előtt engedély nélkül létesítettek kutat. E jogalkotói intézkedésről különböző médiumokon keresztül értesült a lakosság.</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Kormány </w:t>
      </w:r>
      <w:r w:rsidRPr="00EB5ED1">
        <w:rPr>
          <w:rFonts w:ascii="Arial" w:hAnsi="Arial" w:cs="Arial"/>
          <w:bCs/>
          <w:szCs w:val="24"/>
        </w:rPr>
        <w:t xml:space="preserve">intézkedést tett </w:t>
      </w:r>
      <w:r w:rsidRPr="00EB5ED1">
        <w:rPr>
          <w:rFonts w:ascii="Arial" w:hAnsi="Arial" w:cs="Arial"/>
          <w:szCs w:val="24"/>
        </w:rPr>
        <w:t xml:space="preserve">azért, hogy a 2018. december 31-i határidő letelte senkit ne érintsen hátrányosan. </w:t>
      </w:r>
      <w:r w:rsidRPr="00EB5ED1">
        <w:rPr>
          <w:rFonts w:ascii="Arial" w:hAnsi="Arial" w:cs="Arial"/>
          <w:bCs/>
          <w:szCs w:val="24"/>
        </w:rPr>
        <w:t xml:space="preserve">Az Országgyűlés elé beterjesztett törvényjavaslat értelmében a kötelező bírságkiszabás alóli mentességi időszak 2020. december 31-ig meghosszabbodna, és </w:t>
      </w:r>
      <w:r w:rsidRPr="00EB5ED1">
        <w:rPr>
          <w:rFonts w:ascii="Arial" w:hAnsi="Arial" w:cs="Arial"/>
          <w:szCs w:val="24"/>
        </w:rPr>
        <w:t xml:space="preserve">ezzel egy időben </w:t>
      </w:r>
      <w:r w:rsidRPr="00EB5ED1">
        <w:rPr>
          <w:rFonts w:ascii="Arial" w:hAnsi="Arial" w:cs="Arial"/>
          <w:bCs/>
          <w:szCs w:val="24"/>
        </w:rPr>
        <w:t xml:space="preserve">előkészítés alatt áll – </w:t>
      </w:r>
      <w:r w:rsidRPr="00EB5ED1">
        <w:rPr>
          <w:rFonts w:ascii="Arial" w:hAnsi="Arial" w:cs="Arial"/>
          <w:szCs w:val="24"/>
        </w:rPr>
        <w:t xml:space="preserve">és 2019-ben várhatóan megvalósul </w:t>
      </w:r>
      <w:r w:rsidRPr="00EB5ED1">
        <w:rPr>
          <w:rFonts w:ascii="Arial" w:hAnsi="Arial" w:cs="Arial"/>
          <w:bCs/>
          <w:szCs w:val="24"/>
        </w:rPr>
        <w:t>– egy olyan</w:t>
      </w:r>
      <w:r w:rsidRPr="00EB5ED1">
        <w:rPr>
          <w:rFonts w:ascii="Arial" w:hAnsi="Arial" w:cs="Arial"/>
          <w:szCs w:val="24"/>
        </w:rPr>
        <w:t xml:space="preserve"> </w:t>
      </w:r>
      <w:r w:rsidRPr="00EB5ED1">
        <w:rPr>
          <w:rFonts w:ascii="Arial" w:hAnsi="Arial" w:cs="Arial"/>
          <w:bCs/>
          <w:szCs w:val="24"/>
        </w:rPr>
        <w:t>átfogó módosítás, amely illegális kutak engedélyeztetésére speciális eljárást</w:t>
      </w:r>
      <w:r w:rsidRPr="00EB5ED1">
        <w:rPr>
          <w:rFonts w:ascii="Arial" w:hAnsi="Arial" w:cs="Arial"/>
          <w:szCs w:val="24"/>
        </w:rPr>
        <w:t xml:space="preserve"> </w:t>
      </w:r>
      <w:r w:rsidRPr="00EB5ED1">
        <w:rPr>
          <w:rFonts w:ascii="Arial" w:hAnsi="Arial" w:cs="Arial"/>
          <w:bCs/>
          <w:szCs w:val="24"/>
        </w:rPr>
        <w:t>tartalmaz.</w:t>
      </w:r>
    </w:p>
    <w:p w:rsidR="007071C2" w:rsidRDefault="007071C2" w:rsidP="007071C2">
      <w:pPr>
        <w:autoSpaceDE w:val="0"/>
        <w:autoSpaceDN w:val="0"/>
        <w:adjustRightInd w:val="0"/>
        <w:spacing w:after="0" w:line="240" w:lineRule="auto"/>
        <w:rPr>
          <w:rFonts w:ascii="Arial" w:hAnsi="Arial" w:cs="Arial"/>
          <w:szCs w:val="24"/>
        </w:rPr>
      </w:pPr>
    </w:p>
    <w:p w:rsidR="007071C2" w:rsidRDefault="007071C2" w:rsidP="007071C2">
      <w:pPr>
        <w:autoSpaceDE w:val="0"/>
        <w:autoSpaceDN w:val="0"/>
        <w:adjustRightInd w:val="0"/>
        <w:spacing w:after="0" w:line="240" w:lineRule="auto"/>
        <w:rPr>
          <w:rFonts w:ascii="Arial" w:hAnsi="Arial" w:cs="Arial"/>
          <w:szCs w:val="24"/>
        </w:rPr>
      </w:pPr>
      <w:r w:rsidRPr="0058137A">
        <w:rPr>
          <w:rFonts w:ascii="Arial" w:hAnsi="Arial" w:cs="Arial"/>
          <w:noProof/>
          <w:szCs w:val="24"/>
        </w:rPr>
        <w:lastRenderedPageBreak/>
        <w:drawing>
          <wp:anchor distT="0" distB="0" distL="114300" distR="114300" simplePos="0" relativeHeight="251662336" behindDoc="0" locked="0" layoutInCell="1" allowOverlap="1" wp14:anchorId="55FC86C5">
            <wp:simplePos x="0" y="0"/>
            <wp:positionH relativeFrom="column">
              <wp:posOffset>-25</wp:posOffset>
            </wp:positionH>
            <wp:positionV relativeFrom="paragraph">
              <wp:posOffset>610</wp:posOffset>
            </wp:positionV>
            <wp:extent cx="5760720" cy="1724660"/>
            <wp:effectExtent l="0" t="0" r="0" b="8890"/>
            <wp:wrapTopAndBottom/>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1724660"/>
                    </a:xfrm>
                    <a:prstGeom prst="rect">
                      <a:avLst/>
                    </a:prstGeom>
                    <a:noFill/>
                    <a:ln>
                      <a:noFill/>
                    </a:ln>
                  </pic:spPr>
                </pic:pic>
              </a:graphicData>
            </a:graphic>
          </wp:anchor>
        </w:drawing>
      </w: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 xml:space="preserve">A felszín alatti vizek a víz körforgásának rendkívül fontos elemét képezik. A csapadékvíz egy része a földfelszínre érve beszivárog a földtani közegbe, ott hosszabb-rövidebb időt eltöltve (néhány naptól akár több ezer évig is), lassú áramlással folyamatosan mozogva a </w:t>
      </w:r>
      <w:r w:rsidR="008F7146" w:rsidRPr="00F768D6">
        <w:rPr>
          <w:rFonts w:ascii="Arial" w:hAnsi="Arial" w:cs="Arial"/>
          <w:i/>
          <w:iCs/>
          <w:szCs w:val="24"/>
        </w:rPr>
        <w:t>megcsapolási</w:t>
      </w:r>
      <w:r w:rsidRPr="00F768D6">
        <w:rPr>
          <w:rFonts w:ascii="Arial" w:hAnsi="Arial" w:cs="Arial"/>
          <w:i/>
          <w:iCs/>
          <w:szCs w:val="24"/>
        </w:rPr>
        <w:t xml:space="preserve"> helyeken (pl. források, vízfolyások medrei, feláramlási területek) ismét felszínre bukkan. Felszín alatti víznek nevezünk minden, a föld felszíne alatt a telített</w:t>
      </w: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zónában elhelyezkedő vizet, amely közvetlen érintkezésben van a földtani közeggel.</w:t>
      </w:r>
    </w:p>
    <w:p w:rsidR="007071C2" w:rsidRPr="00F768D6" w:rsidRDefault="007071C2" w:rsidP="00EB5ED1">
      <w:pPr>
        <w:autoSpaceDE w:val="0"/>
        <w:autoSpaceDN w:val="0"/>
        <w:adjustRightInd w:val="0"/>
        <w:spacing w:after="0" w:line="276" w:lineRule="auto"/>
        <w:jc w:val="both"/>
        <w:rPr>
          <w:rFonts w:ascii="Arial" w:hAnsi="Arial" w:cs="Arial"/>
          <w:i/>
          <w:iCs/>
          <w:szCs w:val="24"/>
        </w:rPr>
      </w:pP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A felszín alatti vizeket a víztartó kőzet minőségétől függően és a felszínnel való atmoszférikus kapcsolat alapján</w:t>
      </w:r>
    </w:p>
    <w:p w:rsidR="007071C2"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osztályozzuk:</w:t>
      </w:r>
    </w:p>
    <w:p w:rsidR="00F63132" w:rsidRPr="00F768D6" w:rsidRDefault="00F63132" w:rsidP="00EB5ED1">
      <w:pPr>
        <w:autoSpaceDE w:val="0"/>
        <w:autoSpaceDN w:val="0"/>
        <w:adjustRightInd w:val="0"/>
        <w:spacing w:after="0" w:line="276" w:lineRule="auto"/>
        <w:jc w:val="both"/>
        <w:rPr>
          <w:rFonts w:ascii="Arial" w:hAnsi="Arial" w:cs="Arial"/>
          <w:i/>
          <w:iCs/>
          <w:szCs w:val="24"/>
        </w:rPr>
      </w:pP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talajvíz,</w:t>
      </w: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parti szűrésű víz,</w:t>
      </w: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rétegvíz (porózus tároló kőzet vize),</w:t>
      </w: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hasadékos, repedezett tároló kőzet vize (főként karsztvíz).</w:t>
      </w:r>
    </w:p>
    <w:p w:rsidR="007071C2" w:rsidRPr="00F768D6" w:rsidRDefault="007071C2" w:rsidP="00EB5ED1">
      <w:pPr>
        <w:autoSpaceDE w:val="0"/>
        <w:autoSpaceDN w:val="0"/>
        <w:adjustRightInd w:val="0"/>
        <w:spacing w:after="0" w:line="276" w:lineRule="auto"/>
        <w:jc w:val="both"/>
        <w:rPr>
          <w:rFonts w:ascii="Arial" w:hAnsi="Arial" w:cs="Arial"/>
          <w:i/>
          <w:iCs/>
          <w:szCs w:val="24"/>
        </w:rPr>
      </w:pP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A víz a földtani közegben lassú áramlással folyamatosan mozog, sebességét a kőzetek porozitása és vízáteresztő képessége, valamint térbeli helyzete határozza meg. Bár a fentiek alapján az egyes víztartó képződményekben lévő vizek meglehetősen eltérő tulajdonságokkal jellemezhetők, mégis elmondható, hogy a különböző víztartókban lévő felszín alatti vizek dinamikus kapcsolatban állnak egymással. Ebből következően gyakori, hogy a felszín alatti vizek mennyiségi, minőségi viszonyait befolyásoló tevékenység (pl. vízkivétel, szennyező anyag bekerülése) nem csak az adott helyen érezteti hatását, hanem a más víztartó képződményekben lévő felszín alatti vizek állapotát is befolyásolja</w:t>
      </w:r>
      <w:r w:rsidRPr="00F768D6">
        <w:rPr>
          <w:rFonts w:ascii="Arial" w:hAnsi="Arial" w:cs="Arial"/>
          <w:szCs w:val="24"/>
        </w:rPr>
        <w:t>.</w:t>
      </w:r>
    </w:p>
    <w:p w:rsidR="007071C2" w:rsidRDefault="007071C2" w:rsidP="00EB5ED1">
      <w:pPr>
        <w:autoSpaceDE w:val="0"/>
        <w:autoSpaceDN w:val="0"/>
        <w:adjustRightInd w:val="0"/>
        <w:spacing w:after="0" w:line="276" w:lineRule="auto"/>
        <w:rPr>
          <w:rFonts w:ascii="Arial" w:hAnsi="Arial" w:cs="Arial"/>
          <w:szCs w:val="24"/>
        </w:rPr>
      </w:pPr>
    </w:p>
    <w:p w:rsidR="0000206A" w:rsidRDefault="007071C2" w:rsidP="00EB5ED1">
      <w:pPr>
        <w:autoSpaceDE w:val="0"/>
        <w:autoSpaceDN w:val="0"/>
        <w:adjustRightInd w:val="0"/>
        <w:spacing w:after="0" w:line="240" w:lineRule="auto"/>
        <w:jc w:val="both"/>
        <w:rPr>
          <w:rFonts w:ascii="Arial" w:hAnsi="Arial" w:cs="Arial"/>
          <w:szCs w:val="24"/>
        </w:rPr>
      </w:pPr>
      <w:r w:rsidRPr="0058137A">
        <w:rPr>
          <w:rFonts w:ascii="Arial" w:hAnsi="Arial" w:cs="Arial"/>
          <w:noProof/>
          <w:szCs w:val="24"/>
        </w:rPr>
        <w:lastRenderedPageBreak/>
        <w:drawing>
          <wp:anchor distT="0" distB="0" distL="114300" distR="114300" simplePos="0" relativeHeight="251663360" behindDoc="0" locked="0" layoutInCell="1" allowOverlap="1" wp14:anchorId="3086182D">
            <wp:simplePos x="0" y="0"/>
            <wp:positionH relativeFrom="column">
              <wp:posOffset>270637</wp:posOffset>
            </wp:positionH>
            <wp:positionV relativeFrom="paragraph">
              <wp:posOffset>610</wp:posOffset>
            </wp:positionV>
            <wp:extent cx="5210175" cy="4038600"/>
            <wp:effectExtent l="0" t="0" r="9525" b="0"/>
            <wp:wrapTopAndBottom/>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0175" cy="4038600"/>
                    </a:xfrm>
                    <a:prstGeom prst="rect">
                      <a:avLst/>
                    </a:prstGeom>
                    <a:noFill/>
                    <a:ln>
                      <a:noFill/>
                    </a:ln>
                  </pic:spPr>
                </pic:pic>
              </a:graphicData>
            </a:graphic>
          </wp:anchor>
        </w:drawing>
      </w:r>
    </w:p>
    <w:p w:rsidR="007071C2" w:rsidRPr="00F768D6" w:rsidRDefault="007071C2" w:rsidP="00EB5ED1">
      <w:pPr>
        <w:pStyle w:val="Listaszerbekezds"/>
        <w:numPr>
          <w:ilvl w:val="0"/>
          <w:numId w:val="15"/>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Vízkészlet-gazdálkodás szempontjából:</w:t>
      </w:r>
    </w:p>
    <w:p w:rsidR="007071C2" w:rsidRPr="00F768D6"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Mivel az engedély nélkül létesített kutak a hatóságok előtt rejtve maradnak, a kivett</w:t>
      </w:r>
      <w:r>
        <w:rPr>
          <w:rFonts w:ascii="Arial" w:hAnsi="Arial" w:cs="Arial"/>
          <w:i/>
          <w:szCs w:val="24"/>
        </w:rPr>
        <w:t xml:space="preserve"> </w:t>
      </w:r>
      <w:r w:rsidRPr="00F768D6">
        <w:rPr>
          <w:rFonts w:ascii="Arial" w:hAnsi="Arial" w:cs="Arial"/>
          <w:i/>
          <w:szCs w:val="24"/>
        </w:rPr>
        <w:t>víz mennyisége nem ellenőrizhető, erről nyilvántartás nem vezethető. A</w:t>
      </w:r>
      <w:r>
        <w:rPr>
          <w:rFonts w:ascii="Arial" w:hAnsi="Arial" w:cs="Arial"/>
          <w:i/>
          <w:szCs w:val="24"/>
        </w:rPr>
        <w:t xml:space="preserve"> </w:t>
      </w:r>
      <w:r w:rsidRPr="00F768D6">
        <w:rPr>
          <w:rFonts w:ascii="Arial" w:hAnsi="Arial" w:cs="Arial"/>
          <w:i/>
          <w:szCs w:val="24"/>
        </w:rPr>
        <w:t>vízgazdálkodásért felelős minisztérium, a területi vízügyi hatóság és a vízügyi</w:t>
      </w:r>
      <w:r>
        <w:rPr>
          <w:rFonts w:ascii="Arial" w:hAnsi="Arial" w:cs="Arial"/>
          <w:i/>
          <w:szCs w:val="24"/>
        </w:rPr>
        <w:t xml:space="preserve"> </w:t>
      </w:r>
      <w:r w:rsidRPr="00F768D6">
        <w:rPr>
          <w:rFonts w:ascii="Arial" w:hAnsi="Arial" w:cs="Arial"/>
          <w:i/>
          <w:szCs w:val="24"/>
        </w:rPr>
        <w:t xml:space="preserve">igazgatóságok részére ezért nem áll rendelkezésre hiteles adat, hogy </w:t>
      </w:r>
      <w:r w:rsidRPr="00F768D6">
        <w:rPr>
          <w:rFonts w:ascii="Arial" w:hAnsi="Arial" w:cs="Arial"/>
          <w:b/>
          <w:bCs/>
          <w:i/>
          <w:szCs w:val="24"/>
        </w:rPr>
        <w:t>vízkészletgazdálkodási</w:t>
      </w:r>
      <w:r>
        <w:rPr>
          <w:rFonts w:ascii="Arial" w:hAnsi="Arial" w:cs="Arial"/>
          <w:b/>
          <w:bCs/>
          <w:i/>
          <w:szCs w:val="24"/>
        </w:rPr>
        <w:t xml:space="preserve"> </w:t>
      </w:r>
      <w:r w:rsidRPr="00F768D6">
        <w:rPr>
          <w:rFonts w:ascii="Arial" w:hAnsi="Arial" w:cs="Arial"/>
          <w:i/>
          <w:szCs w:val="24"/>
        </w:rPr>
        <w:t>feladataikat ellássák, egy adott területre vonatkozóan a szabad, tehát</w:t>
      </w:r>
      <w:r>
        <w:rPr>
          <w:rFonts w:ascii="Arial" w:hAnsi="Arial" w:cs="Arial"/>
          <w:i/>
          <w:szCs w:val="24"/>
        </w:rPr>
        <w:t xml:space="preserve"> </w:t>
      </w:r>
      <w:r w:rsidRPr="00F768D6">
        <w:rPr>
          <w:rFonts w:ascii="Arial" w:hAnsi="Arial" w:cs="Arial"/>
          <w:i/>
          <w:szCs w:val="24"/>
        </w:rPr>
        <w:t>felhasználható vízkészletet meghatározhassák. Ennek eredményeként a jogszerűen</w:t>
      </w:r>
      <w:r>
        <w:rPr>
          <w:rFonts w:ascii="Arial" w:hAnsi="Arial" w:cs="Arial"/>
          <w:i/>
          <w:szCs w:val="24"/>
        </w:rPr>
        <w:t xml:space="preserve"> </w:t>
      </w:r>
      <w:r w:rsidRPr="00F768D6">
        <w:rPr>
          <w:rFonts w:ascii="Arial" w:hAnsi="Arial" w:cs="Arial"/>
          <w:i/>
          <w:szCs w:val="24"/>
        </w:rPr>
        <w:t>benyújtott vízjogi engedély iránti kérelmek kiadását nem lehet valós alapokon nyugvó</w:t>
      </w:r>
      <w:r>
        <w:rPr>
          <w:rFonts w:ascii="Arial" w:hAnsi="Arial" w:cs="Arial"/>
          <w:i/>
          <w:szCs w:val="24"/>
        </w:rPr>
        <w:t xml:space="preserve"> </w:t>
      </w:r>
      <w:r w:rsidRPr="00F768D6">
        <w:rPr>
          <w:rFonts w:ascii="Arial" w:hAnsi="Arial" w:cs="Arial"/>
          <w:i/>
          <w:szCs w:val="24"/>
        </w:rPr>
        <w:t>számításokra alapozni.</w:t>
      </w:r>
    </w:p>
    <w:p w:rsidR="007071C2" w:rsidRPr="00F768D6"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A készletek csökkenését tapasztalva, feszített vízgazdálkodási helyzetben, a területi</w:t>
      </w:r>
      <w:r>
        <w:rPr>
          <w:rFonts w:ascii="Arial" w:hAnsi="Arial" w:cs="Arial"/>
          <w:i/>
          <w:szCs w:val="24"/>
        </w:rPr>
        <w:t xml:space="preserve"> </w:t>
      </w:r>
      <w:r w:rsidRPr="00F768D6">
        <w:rPr>
          <w:rFonts w:ascii="Arial" w:hAnsi="Arial" w:cs="Arial"/>
          <w:i/>
          <w:szCs w:val="24"/>
        </w:rPr>
        <w:t>hatóságok a legális vízkivételeket tudják korlátozni, miközben az illegális vízhasználó</w:t>
      </w:r>
      <w:r>
        <w:rPr>
          <w:rFonts w:ascii="Arial" w:hAnsi="Arial" w:cs="Arial"/>
          <w:i/>
          <w:szCs w:val="24"/>
        </w:rPr>
        <w:t xml:space="preserve"> </w:t>
      </w:r>
      <w:r w:rsidRPr="00F768D6">
        <w:rPr>
          <w:rFonts w:ascii="Arial" w:hAnsi="Arial" w:cs="Arial"/>
          <w:i/>
          <w:szCs w:val="24"/>
        </w:rPr>
        <w:t>akár pazarolhatja, vagy szennyezheti is a vizet. Végeredményben számos helyen</w:t>
      </w:r>
      <w:r>
        <w:rPr>
          <w:rFonts w:ascii="Arial" w:hAnsi="Arial" w:cs="Arial"/>
          <w:i/>
          <w:szCs w:val="24"/>
        </w:rPr>
        <w:t xml:space="preserve"> </w:t>
      </w:r>
      <w:r w:rsidRPr="00F768D6">
        <w:rPr>
          <w:rFonts w:ascii="Arial" w:hAnsi="Arial" w:cs="Arial"/>
          <w:i/>
          <w:szCs w:val="24"/>
        </w:rPr>
        <w:t>feltételezhető, hogy az illegális vízkivételek olyan mértékűek vagy szakszerűtlenek,</w:t>
      </w:r>
      <w:r>
        <w:rPr>
          <w:rFonts w:ascii="Arial" w:hAnsi="Arial" w:cs="Arial"/>
          <w:i/>
          <w:szCs w:val="24"/>
        </w:rPr>
        <w:t xml:space="preserve"> </w:t>
      </w:r>
      <w:r w:rsidRPr="00F768D6">
        <w:rPr>
          <w:rFonts w:ascii="Arial" w:hAnsi="Arial" w:cs="Arial"/>
          <w:i/>
          <w:szCs w:val="24"/>
        </w:rPr>
        <w:t>hogy azok már kárt okoznak az engedéllyel rendelkező vízhasználóknak.</w:t>
      </w:r>
    </w:p>
    <w:p w:rsidR="007071C2" w:rsidRPr="00F768D6"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 xml:space="preserve">A fenti problémák </w:t>
      </w:r>
      <w:r w:rsidRPr="00F768D6">
        <w:rPr>
          <w:rFonts w:ascii="Arial" w:hAnsi="Arial" w:cs="Arial"/>
          <w:b/>
          <w:bCs/>
          <w:i/>
          <w:szCs w:val="24"/>
        </w:rPr>
        <w:t xml:space="preserve">társadalmi hatása </w:t>
      </w:r>
      <w:r w:rsidRPr="00F768D6">
        <w:rPr>
          <w:rFonts w:ascii="Arial" w:hAnsi="Arial" w:cs="Arial"/>
          <w:i/>
          <w:szCs w:val="24"/>
        </w:rPr>
        <w:t>jelentős lehet abban az esetben, ha a</w:t>
      </w:r>
      <w:r>
        <w:rPr>
          <w:rFonts w:ascii="Arial" w:hAnsi="Arial" w:cs="Arial"/>
          <w:i/>
          <w:szCs w:val="24"/>
        </w:rPr>
        <w:t xml:space="preserve"> </w:t>
      </w:r>
      <w:r w:rsidRPr="00F768D6">
        <w:rPr>
          <w:rFonts w:ascii="Arial" w:hAnsi="Arial" w:cs="Arial"/>
          <w:i/>
          <w:szCs w:val="24"/>
        </w:rPr>
        <w:t>vízszennyezés ivóvízbázist érint, vagy ha az illegális vízkivétel egy területen olyan</w:t>
      </w:r>
      <w:r>
        <w:rPr>
          <w:rFonts w:ascii="Arial" w:hAnsi="Arial" w:cs="Arial"/>
          <w:i/>
          <w:szCs w:val="24"/>
        </w:rPr>
        <w:t xml:space="preserve"> </w:t>
      </w:r>
      <w:r w:rsidRPr="00F768D6">
        <w:rPr>
          <w:rFonts w:ascii="Arial" w:hAnsi="Arial" w:cs="Arial"/>
          <w:i/>
          <w:szCs w:val="24"/>
        </w:rPr>
        <w:t>mértékű vízszintsüllyedést eredményez, hogy a jogszerűen létesített és üzemeltetett</w:t>
      </w:r>
      <w:r>
        <w:rPr>
          <w:rFonts w:ascii="Arial" w:hAnsi="Arial" w:cs="Arial"/>
          <w:i/>
          <w:szCs w:val="24"/>
        </w:rPr>
        <w:t xml:space="preserve"> </w:t>
      </w:r>
      <w:r w:rsidRPr="00F768D6">
        <w:rPr>
          <w:rFonts w:ascii="Arial" w:hAnsi="Arial" w:cs="Arial"/>
          <w:i/>
          <w:szCs w:val="24"/>
        </w:rPr>
        <w:t>kutak tulajdonosai nem jutnak megfelelő mennyiségű és minőségű vízhez.</w:t>
      </w:r>
    </w:p>
    <w:p w:rsidR="007F68B7" w:rsidRDefault="007F68B7" w:rsidP="00EB5ED1">
      <w:pPr>
        <w:autoSpaceDE w:val="0"/>
        <w:autoSpaceDN w:val="0"/>
        <w:adjustRightInd w:val="0"/>
        <w:spacing w:after="0" w:line="276" w:lineRule="auto"/>
        <w:rPr>
          <w:rFonts w:ascii="Arial" w:hAnsi="Arial" w:cs="Arial"/>
          <w:szCs w:val="24"/>
        </w:rPr>
      </w:pPr>
    </w:p>
    <w:p w:rsidR="00EB5ED1" w:rsidRDefault="00EB5ED1" w:rsidP="00EB5ED1">
      <w:pPr>
        <w:autoSpaceDE w:val="0"/>
        <w:autoSpaceDN w:val="0"/>
        <w:adjustRightInd w:val="0"/>
        <w:spacing w:after="0" w:line="276" w:lineRule="auto"/>
        <w:rPr>
          <w:rFonts w:ascii="Arial" w:hAnsi="Arial" w:cs="Arial"/>
          <w:szCs w:val="24"/>
        </w:rPr>
      </w:pPr>
    </w:p>
    <w:p w:rsidR="00EB5ED1" w:rsidRPr="007F68B7" w:rsidRDefault="00EB5ED1" w:rsidP="00EB5ED1">
      <w:pPr>
        <w:autoSpaceDE w:val="0"/>
        <w:autoSpaceDN w:val="0"/>
        <w:adjustRightInd w:val="0"/>
        <w:spacing w:after="0" w:line="276" w:lineRule="auto"/>
        <w:rPr>
          <w:rFonts w:ascii="Arial" w:hAnsi="Arial" w:cs="Arial"/>
          <w:szCs w:val="24"/>
        </w:rPr>
      </w:pPr>
    </w:p>
    <w:p w:rsidR="007071C2" w:rsidRPr="00F768D6" w:rsidRDefault="007071C2" w:rsidP="00EB5ED1">
      <w:pPr>
        <w:pStyle w:val="Listaszerbekezds"/>
        <w:numPr>
          <w:ilvl w:val="0"/>
          <w:numId w:val="14"/>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lastRenderedPageBreak/>
        <w:t>Garanciális szempontból:</w:t>
      </w:r>
    </w:p>
    <w:p w:rsidR="007071C2" w:rsidRPr="000620D4" w:rsidRDefault="007071C2" w:rsidP="00EB5ED1">
      <w:pPr>
        <w:pStyle w:val="Listaszerbekezds"/>
        <w:numPr>
          <w:ilvl w:val="0"/>
          <w:numId w:val="13"/>
        </w:numPr>
        <w:autoSpaceDE w:val="0"/>
        <w:autoSpaceDN w:val="0"/>
        <w:adjustRightInd w:val="0"/>
        <w:spacing w:after="0" w:line="276" w:lineRule="auto"/>
        <w:jc w:val="both"/>
        <w:rPr>
          <w:rFonts w:ascii="Arial" w:hAnsi="Arial" w:cs="Arial"/>
          <w:b/>
          <w:bCs/>
          <w:i/>
          <w:szCs w:val="24"/>
        </w:rPr>
      </w:pPr>
      <w:r w:rsidRPr="00F768D6">
        <w:rPr>
          <w:rFonts w:ascii="Arial" w:hAnsi="Arial" w:cs="Arial"/>
          <w:i/>
          <w:szCs w:val="24"/>
        </w:rPr>
        <w:t xml:space="preserve">Az alacsony áron és engedély nélkül létesített kutakba többségében </w:t>
      </w:r>
      <w:r w:rsidRPr="00F768D6">
        <w:rPr>
          <w:rFonts w:ascii="Arial" w:hAnsi="Arial" w:cs="Arial"/>
          <w:b/>
          <w:bCs/>
          <w:i/>
          <w:szCs w:val="24"/>
        </w:rPr>
        <w:t>rossz minőségű</w:t>
      </w:r>
      <w:r>
        <w:rPr>
          <w:rFonts w:ascii="Arial" w:hAnsi="Arial" w:cs="Arial"/>
          <w:b/>
          <w:bCs/>
          <w:i/>
          <w:szCs w:val="24"/>
        </w:rPr>
        <w:t xml:space="preserve"> </w:t>
      </w:r>
      <w:r w:rsidRPr="00F768D6">
        <w:rPr>
          <w:rFonts w:ascii="Arial" w:hAnsi="Arial" w:cs="Arial"/>
          <w:b/>
          <w:bCs/>
          <w:i/>
          <w:szCs w:val="24"/>
        </w:rPr>
        <w:t>anyagokat építenek be</w:t>
      </w:r>
      <w:r w:rsidRPr="00F768D6">
        <w:rPr>
          <w:rFonts w:ascii="Arial" w:hAnsi="Arial" w:cs="Arial"/>
          <w:i/>
          <w:szCs w:val="24"/>
        </w:rPr>
        <w:t>. A nem kútépítés céljára gyártott, de a fúrt kutakba a kontár</w:t>
      </w:r>
      <w:r>
        <w:rPr>
          <w:rFonts w:ascii="Arial" w:hAnsi="Arial" w:cs="Arial"/>
          <w:i/>
          <w:szCs w:val="24"/>
        </w:rPr>
        <w:t xml:space="preserve"> </w:t>
      </w:r>
      <w:r w:rsidRPr="00F768D6">
        <w:rPr>
          <w:rFonts w:ascii="Arial" w:hAnsi="Arial" w:cs="Arial"/>
          <w:i/>
          <w:szCs w:val="24"/>
        </w:rPr>
        <w:t xml:space="preserve">kivitelezők által sajnos mégis gyakran épített </w:t>
      </w:r>
      <w:r w:rsidRPr="00F768D6">
        <w:rPr>
          <w:rFonts w:ascii="Arial" w:hAnsi="Arial" w:cs="Arial"/>
          <w:b/>
          <w:bCs/>
          <w:i/>
          <w:szCs w:val="24"/>
        </w:rPr>
        <w:t xml:space="preserve">olcsó műanyag csövek </w:t>
      </w:r>
      <w:r w:rsidRPr="00F768D6">
        <w:rPr>
          <w:rFonts w:ascii="Arial" w:hAnsi="Arial" w:cs="Arial"/>
          <w:i/>
          <w:szCs w:val="24"/>
        </w:rPr>
        <w:t>(pl. PVC</w:t>
      </w:r>
      <w:r>
        <w:rPr>
          <w:rFonts w:ascii="Arial" w:hAnsi="Arial" w:cs="Arial"/>
          <w:i/>
          <w:szCs w:val="24"/>
        </w:rPr>
        <w:t xml:space="preserve"> </w:t>
      </w:r>
      <w:r w:rsidRPr="00F768D6">
        <w:rPr>
          <w:rFonts w:ascii="Arial" w:hAnsi="Arial" w:cs="Arial"/>
          <w:i/>
          <w:szCs w:val="24"/>
        </w:rPr>
        <w:t xml:space="preserve">szennyvíz lefolyó cső) </w:t>
      </w:r>
      <w:r w:rsidRPr="00F768D6">
        <w:rPr>
          <w:rFonts w:ascii="Arial" w:hAnsi="Arial" w:cs="Arial"/>
          <w:b/>
          <w:bCs/>
          <w:i/>
          <w:szCs w:val="24"/>
        </w:rPr>
        <w:t>szilárdsági követelményei nem megfelelőek</w:t>
      </w:r>
      <w:r w:rsidRPr="00F768D6">
        <w:rPr>
          <w:rFonts w:ascii="Arial" w:hAnsi="Arial" w:cs="Arial"/>
          <w:i/>
          <w:szCs w:val="24"/>
        </w:rPr>
        <w:t>: hosszú távon a</w:t>
      </w:r>
      <w:r>
        <w:rPr>
          <w:rFonts w:ascii="Arial" w:hAnsi="Arial" w:cs="Arial"/>
          <w:i/>
          <w:szCs w:val="24"/>
        </w:rPr>
        <w:t xml:space="preserve"> </w:t>
      </w:r>
      <w:r w:rsidRPr="00F768D6">
        <w:rPr>
          <w:rFonts w:ascii="Arial" w:hAnsi="Arial" w:cs="Arial"/>
          <w:i/>
          <w:szCs w:val="24"/>
        </w:rPr>
        <w:t>rétegnyomás hatására deformálódnak és törnek. Így a kút használhatatlanná, a benne</w:t>
      </w:r>
      <w:r>
        <w:rPr>
          <w:rFonts w:ascii="Arial" w:hAnsi="Arial" w:cs="Arial"/>
          <w:i/>
          <w:szCs w:val="24"/>
        </w:rPr>
        <w:t xml:space="preserve"> </w:t>
      </w:r>
      <w:r w:rsidRPr="00F768D6">
        <w:rPr>
          <w:rFonts w:ascii="Arial" w:hAnsi="Arial" w:cs="Arial"/>
          <w:i/>
          <w:szCs w:val="24"/>
        </w:rPr>
        <w:t>levő szivattyú kiépíthetetlenné válik, a tönkrement kút pedig ritkán javítható. Ennek</w:t>
      </w:r>
      <w:r>
        <w:rPr>
          <w:rFonts w:ascii="Arial" w:hAnsi="Arial" w:cs="Arial"/>
          <w:i/>
          <w:szCs w:val="24"/>
        </w:rPr>
        <w:t xml:space="preserve"> </w:t>
      </w:r>
      <w:r w:rsidRPr="000620D4">
        <w:rPr>
          <w:rFonts w:ascii="Arial" w:hAnsi="Arial" w:cs="Arial"/>
          <w:i/>
          <w:szCs w:val="24"/>
        </w:rPr>
        <w:t>folytán ott maradnak örökre a felszín alatt, állandó vízszennyező forrássá válva, még</w:t>
      </w:r>
      <w:r>
        <w:rPr>
          <w:rFonts w:ascii="Arial" w:hAnsi="Arial" w:cs="Arial"/>
          <w:i/>
          <w:szCs w:val="24"/>
        </w:rPr>
        <w:t xml:space="preserve"> </w:t>
      </w:r>
      <w:r w:rsidRPr="000620D4">
        <w:rPr>
          <w:rFonts w:ascii="Arial" w:hAnsi="Arial" w:cs="Arial"/>
          <w:i/>
          <w:szCs w:val="24"/>
        </w:rPr>
        <w:t>akkor is, ha esetleg a belsejüket — látszólag szakszerűen — cementtejjel szigetelik.</w:t>
      </w:r>
      <w:r>
        <w:rPr>
          <w:rFonts w:ascii="Arial" w:hAnsi="Arial" w:cs="Arial"/>
          <w:i/>
          <w:szCs w:val="24"/>
        </w:rPr>
        <w:t xml:space="preserve"> </w:t>
      </w:r>
      <w:r w:rsidRPr="000620D4">
        <w:rPr>
          <w:rFonts w:ascii="Arial" w:hAnsi="Arial" w:cs="Arial"/>
          <w:i/>
          <w:szCs w:val="24"/>
        </w:rPr>
        <w:t>Gyakori eset, hogy összességében többe kerül egy illegális és gyakran többször</w:t>
      </w:r>
      <w:r>
        <w:rPr>
          <w:rFonts w:ascii="Arial" w:hAnsi="Arial" w:cs="Arial"/>
          <w:i/>
          <w:szCs w:val="24"/>
        </w:rPr>
        <w:t xml:space="preserve"> </w:t>
      </w:r>
      <w:r w:rsidRPr="000620D4">
        <w:rPr>
          <w:rFonts w:ascii="Arial" w:hAnsi="Arial" w:cs="Arial"/>
          <w:i/>
          <w:szCs w:val="24"/>
        </w:rPr>
        <w:t>megfúrt kút létesítése, mint az egyszer, a szükséges vízjogi engedély alapján létesített,</w:t>
      </w:r>
      <w:r>
        <w:rPr>
          <w:rFonts w:ascii="Arial" w:hAnsi="Arial" w:cs="Arial"/>
          <w:i/>
          <w:szCs w:val="24"/>
        </w:rPr>
        <w:t xml:space="preserve"> </w:t>
      </w:r>
      <w:r w:rsidRPr="000620D4">
        <w:rPr>
          <w:rFonts w:ascii="Arial" w:hAnsi="Arial" w:cs="Arial"/>
          <w:i/>
          <w:szCs w:val="24"/>
        </w:rPr>
        <w:t>minőségi anyagokból megvalósult vízilétesítmény beruházása. A rossz kutak és azok</w:t>
      </w:r>
      <w:r>
        <w:rPr>
          <w:rFonts w:ascii="Arial" w:hAnsi="Arial" w:cs="Arial"/>
          <w:i/>
          <w:szCs w:val="24"/>
        </w:rPr>
        <w:t xml:space="preserve"> </w:t>
      </w:r>
      <w:r w:rsidRPr="000620D4">
        <w:rPr>
          <w:rFonts w:ascii="Arial" w:hAnsi="Arial" w:cs="Arial"/>
          <w:i/>
          <w:szCs w:val="24"/>
        </w:rPr>
        <w:t>kontár kivitelezői így a környezetszennyezésen túl az állampolgárokat is</w:t>
      </w:r>
      <w:r>
        <w:rPr>
          <w:rFonts w:ascii="Arial" w:hAnsi="Arial" w:cs="Arial"/>
          <w:i/>
          <w:szCs w:val="24"/>
        </w:rPr>
        <w:t xml:space="preserve"> </w:t>
      </w:r>
      <w:r w:rsidRPr="000620D4">
        <w:rPr>
          <w:rFonts w:ascii="Arial" w:hAnsi="Arial" w:cs="Arial"/>
          <w:i/>
          <w:szCs w:val="24"/>
        </w:rPr>
        <w:t>megkárosítják.</w:t>
      </w:r>
    </w:p>
    <w:p w:rsidR="007071C2" w:rsidRPr="000620D4"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Az engedély nélkül és szakszerűtlenül épített kutak esetében gyakori probléma, hogy</w:t>
      </w:r>
      <w:r>
        <w:rPr>
          <w:rFonts w:ascii="Arial" w:hAnsi="Arial" w:cs="Arial"/>
          <w:i/>
          <w:szCs w:val="24"/>
        </w:rPr>
        <w:t xml:space="preserve"> </w:t>
      </w:r>
      <w:r w:rsidRPr="000620D4">
        <w:rPr>
          <w:rFonts w:ascii="Arial" w:hAnsi="Arial" w:cs="Arial"/>
          <w:i/>
          <w:szCs w:val="24"/>
        </w:rPr>
        <w:t>azok műszaki kialakítása, a beépített anyagok minősége és mennyisége ismeretlen.</w:t>
      </w:r>
      <w:r>
        <w:rPr>
          <w:rFonts w:ascii="Arial" w:hAnsi="Arial" w:cs="Arial"/>
          <w:i/>
          <w:szCs w:val="24"/>
        </w:rPr>
        <w:t xml:space="preserve"> </w:t>
      </w:r>
      <w:r w:rsidRPr="000620D4">
        <w:rPr>
          <w:rFonts w:ascii="Arial" w:hAnsi="Arial" w:cs="Arial"/>
          <w:i/>
          <w:szCs w:val="24"/>
        </w:rPr>
        <w:t>Műbizonylatok, egyéb műszaki dokumentumok és általában számla hiányában az</w:t>
      </w:r>
      <w:r>
        <w:rPr>
          <w:rFonts w:ascii="Arial" w:hAnsi="Arial" w:cs="Arial"/>
          <w:i/>
          <w:szCs w:val="24"/>
        </w:rPr>
        <w:t xml:space="preserve"> </w:t>
      </w:r>
      <w:r w:rsidRPr="000620D4">
        <w:rPr>
          <w:rFonts w:ascii="Arial" w:hAnsi="Arial" w:cs="Arial"/>
          <w:i/>
          <w:szCs w:val="24"/>
        </w:rPr>
        <w:t>ingatlan tulajdonosa, a létesítmény építtetője érdemi információkkal nem rendelkezik.</w:t>
      </w:r>
    </w:p>
    <w:p w:rsidR="007071C2" w:rsidRPr="000620D4"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Az előző két ponttal szorosan összefügg a kútfúrással kapcsolatos engedély nélküli</w:t>
      </w:r>
      <w:r>
        <w:rPr>
          <w:rFonts w:ascii="Arial" w:hAnsi="Arial" w:cs="Arial"/>
          <w:i/>
          <w:szCs w:val="24"/>
        </w:rPr>
        <w:t xml:space="preserve"> </w:t>
      </w:r>
      <w:r w:rsidRPr="000620D4">
        <w:rPr>
          <w:rFonts w:ascii="Arial" w:hAnsi="Arial" w:cs="Arial"/>
          <w:i/>
          <w:szCs w:val="24"/>
        </w:rPr>
        <w:t>hirdetések problematikája. Országosan elterjedt gyakorlat, hogy azokon a területeken,</w:t>
      </w:r>
      <w:r>
        <w:rPr>
          <w:rFonts w:ascii="Arial" w:hAnsi="Arial" w:cs="Arial"/>
          <w:i/>
          <w:szCs w:val="24"/>
        </w:rPr>
        <w:t xml:space="preserve"> </w:t>
      </w:r>
      <w:r w:rsidRPr="000620D4">
        <w:rPr>
          <w:rFonts w:ascii="Arial" w:hAnsi="Arial" w:cs="Arial"/>
          <w:i/>
          <w:szCs w:val="24"/>
        </w:rPr>
        <w:t>ahol a sekélyföldtani viszonyok miatt a fúrások könnyen kivitelezhetőek, a közúti</w:t>
      </w:r>
      <w:r>
        <w:rPr>
          <w:rFonts w:ascii="Arial" w:hAnsi="Arial" w:cs="Arial"/>
          <w:i/>
          <w:szCs w:val="24"/>
        </w:rPr>
        <w:t xml:space="preserve"> </w:t>
      </w:r>
      <w:r w:rsidRPr="000620D4">
        <w:rPr>
          <w:rFonts w:ascii="Arial" w:hAnsi="Arial" w:cs="Arial"/>
          <w:i/>
          <w:szCs w:val="24"/>
        </w:rPr>
        <w:t>jelzőtáblák hátoldalára ragasztott matricákon, illetve az elektromos művek oszlopain,</w:t>
      </w:r>
      <w:r>
        <w:rPr>
          <w:rFonts w:ascii="Arial" w:hAnsi="Arial" w:cs="Arial"/>
          <w:i/>
          <w:szCs w:val="24"/>
        </w:rPr>
        <w:t xml:space="preserve"> </w:t>
      </w:r>
      <w:r w:rsidRPr="000620D4">
        <w:rPr>
          <w:rFonts w:ascii="Arial" w:hAnsi="Arial" w:cs="Arial"/>
          <w:i/>
          <w:szCs w:val="24"/>
        </w:rPr>
        <w:t>létesítményein látható a szabálytalanul kihelyezett „Kútfúrás” feliratú tábla egy kísérő</w:t>
      </w:r>
      <w:r>
        <w:rPr>
          <w:rFonts w:ascii="Arial" w:hAnsi="Arial" w:cs="Arial"/>
          <w:i/>
          <w:szCs w:val="24"/>
        </w:rPr>
        <w:t xml:space="preserve"> </w:t>
      </w:r>
      <w:r w:rsidRPr="000620D4">
        <w:rPr>
          <w:rFonts w:ascii="Arial" w:hAnsi="Arial" w:cs="Arial"/>
          <w:i/>
          <w:szCs w:val="24"/>
        </w:rPr>
        <w:t>telefonszámmal. E reklámokon keresztül gyakran olyan személyek hirdetik</w:t>
      </w:r>
      <w:r>
        <w:rPr>
          <w:rFonts w:ascii="Arial" w:hAnsi="Arial" w:cs="Arial"/>
          <w:i/>
          <w:szCs w:val="24"/>
        </w:rPr>
        <w:t xml:space="preserve"> </w:t>
      </w:r>
      <w:r w:rsidRPr="000620D4">
        <w:rPr>
          <w:rFonts w:ascii="Arial" w:hAnsi="Arial" w:cs="Arial"/>
          <w:i/>
          <w:szCs w:val="24"/>
        </w:rPr>
        <w:t>szolgáltatásaikat, akik semmilyen végzettséggel és jogosultsággal, valamint megfelelő,</w:t>
      </w:r>
      <w:r>
        <w:rPr>
          <w:rFonts w:ascii="Arial" w:hAnsi="Arial" w:cs="Arial"/>
          <w:i/>
          <w:szCs w:val="24"/>
        </w:rPr>
        <w:t xml:space="preserve"> </w:t>
      </w:r>
      <w:r w:rsidRPr="000620D4">
        <w:rPr>
          <w:rFonts w:ascii="Arial" w:hAnsi="Arial" w:cs="Arial"/>
          <w:i/>
          <w:szCs w:val="24"/>
        </w:rPr>
        <w:t>vizsgáztatott gépekkel nem rendelkeznek. A fentiek miatt nem képesek elfogadható</w:t>
      </w:r>
      <w:r>
        <w:rPr>
          <w:rFonts w:ascii="Arial" w:hAnsi="Arial" w:cs="Arial"/>
          <w:i/>
          <w:szCs w:val="24"/>
        </w:rPr>
        <w:t xml:space="preserve"> </w:t>
      </w:r>
      <w:r w:rsidRPr="000620D4">
        <w:rPr>
          <w:rFonts w:ascii="Arial" w:hAnsi="Arial" w:cs="Arial"/>
          <w:i/>
          <w:szCs w:val="24"/>
        </w:rPr>
        <w:t>minőségű munkára sem, amely az előző két pontban leírt kedvezőtlen hatásokat</w:t>
      </w:r>
      <w:r>
        <w:rPr>
          <w:rFonts w:ascii="Arial" w:hAnsi="Arial" w:cs="Arial"/>
          <w:i/>
          <w:szCs w:val="24"/>
        </w:rPr>
        <w:t xml:space="preserve"> </w:t>
      </w:r>
      <w:r w:rsidRPr="000620D4">
        <w:rPr>
          <w:rFonts w:ascii="Arial" w:hAnsi="Arial" w:cs="Arial"/>
          <w:i/>
          <w:szCs w:val="24"/>
        </w:rPr>
        <w:t>eredményezi.</w:t>
      </w:r>
    </w:p>
    <w:p w:rsidR="00032ED4" w:rsidRDefault="00032ED4"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5240F5" w:rsidRPr="005240F5" w:rsidRDefault="005240F5" w:rsidP="005240F5">
      <w:pPr>
        <w:pStyle w:val="Listaszerbekezds"/>
        <w:numPr>
          <w:ilvl w:val="1"/>
          <w:numId w:val="6"/>
        </w:numPr>
        <w:autoSpaceDE w:val="0"/>
        <w:autoSpaceDN w:val="0"/>
        <w:adjustRightInd w:val="0"/>
        <w:spacing w:after="0" w:line="240" w:lineRule="auto"/>
        <w:ind w:left="426"/>
        <w:rPr>
          <w:rFonts w:ascii="Arial" w:hAnsi="Arial" w:cs="Arial"/>
          <w:i/>
          <w:szCs w:val="24"/>
        </w:rPr>
      </w:pPr>
      <w:r w:rsidRPr="005240F5">
        <w:rPr>
          <w:rFonts w:ascii="Arial" w:hAnsi="Arial" w:cs="Arial"/>
          <w:i/>
          <w:szCs w:val="24"/>
        </w:rPr>
        <w:lastRenderedPageBreak/>
        <w:t>2018-ban lehullott éves csapadékmennyiség</w:t>
      </w:r>
    </w:p>
    <w:p w:rsidR="005240F5" w:rsidRDefault="005240F5" w:rsidP="007071C2">
      <w:pPr>
        <w:autoSpaceDE w:val="0"/>
        <w:autoSpaceDN w:val="0"/>
        <w:adjustRightInd w:val="0"/>
        <w:spacing w:after="0" w:line="240" w:lineRule="auto"/>
        <w:rPr>
          <w:rFonts w:ascii="Arial" w:hAnsi="Arial" w:cs="Arial"/>
          <w:szCs w:val="24"/>
        </w:rPr>
      </w:pPr>
    </w:p>
    <w:p w:rsidR="00363F27" w:rsidRDefault="005240F5" w:rsidP="007071C2">
      <w:pPr>
        <w:autoSpaceDE w:val="0"/>
        <w:autoSpaceDN w:val="0"/>
        <w:adjustRightInd w:val="0"/>
        <w:spacing w:after="0" w:line="240" w:lineRule="auto"/>
        <w:rPr>
          <w:rFonts w:ascii="Arial" w:hAnsi="Arial" w:cs="Arial"/>
          <w:szCs w:val="24"/>
        </w:rPr>
      </w:pPr>
      <w:r>
        <w:rPr>
          <w:rFonts w:ascii="Arial" w:hAnsi="Arial" w:cs="Arial"/>
          <w:szCs w:val="24"/>
        </w:rPr>
        <w:t>2018-ban lehullott éves csapadékmennyiség mely Berhida esetében 600-650 mm jelent</w:t>
      </w:r>
    </w:p>
    <w:p w:rsidR="00363F27" w:rsidRDefault="00363F27" w:rsidP="007071C2">
      <w:pPr>
        <w:autoSpaceDE w:val="0"/>
        <w:autoSpaceDN w:val="0"/>
        <w:adjustRightInd w:val="0"/>
        <w:spacing w:after="0" w:line="240" w:lineRule="auto"/>
        <w:rPr>
          <w:rFonts w:ascii="Arial" w:hAnsi="Arial" w:cs="Arial"/>
          <w:szCs w:val="24"/>
        </w:rPr>
      </w:pPr>
    </w:p>
    <w:p w:rsidR="005240F5" w:rsidRDefault="005240F5" w:rsidP="00EB5ED1">
      <w:pPr>
        <w:autoSpaceDE w:val="0"/>
        <w:autoSpaceDN w:val="0"/>
        <w:adjustRightInd w:val="0"/>
        <w:spacing w:after="0" w:line="240" w:lineRule="auto"/>
        <w:rPr>
          <w:rFonts w:ascii="Arial" w:hAnsi="Arial" w:cs="Arial"/>
          <w:szCs w:val="24"/>
        </w:rPr>
      </w:pPr>
      <w:r>
        <w:rPr>
          <w:noProof/>
        </w:rPr>
        <w:drawing>
          <wp:anchor distT="0" distB="0" distL="114300" distR="114300" simplePos="0" relativeHeight="251664384" behindDoc="0" locked="0" layoutInCell="1" allowOverlap="1">
            <wp:simplePos x="0" y="0"/>
            <wp:positionH relativeFrom="column">
              <wp:posOffset>-25</wp:posOffset>
            </wp:positionH>
            <wp:positionV relativeFrom="paragraph">
              <wp:posOffset>1499</wp:posOffset>
            </wp:positionV>
            <wp:extent cx="5760720" cy="3887470"/>
            <wp:effectExtent l="0" t="0" r="0" b="0"/>
            <wp:wrapTopAndBottom/>
            <wp:docPr id="9" name="Kép 9" descr="Éves csapadékössz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Éves csapadékössz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87470"/>
                    </a:xfrm>
                    <a:prstGeom prst="rect">
                      <a:avLst/>
                    </a:prstGeom>
                    <a:noFill/>
                    <a:ln>
                      <a:noFill/>
                    </a:ln>
                  </pic:spPr>
                </pic:pic>
              </a:graphicData>
            </a:graphic>
          </wp:anchor>
        </w:drawing>
      </w:r>
    </w:p>
    <w:p w:rsidR="007071C2" w:rsidRPr="00215353" w:rsidRDefault="007071C2" w:rsidP="00EB5ED1">
      <w:pPr>
        <w:pStyle w:val="Listaszerbekezds"/>
        <w:numPr>
          <w:ilvl w:val="0"/>
          <w:numId w:val="6"/>
        </w:numPr>
        <w:autoSpaceDE w:val="0"/>
        <w:autoSpaceDN w:val="0"/>
        <w:adjustRightInd w:val="0"/>
        <w:spacing w:after="0" w:line="276" w:lineRule="auto"/>
        <w:jc w:val="both"/>
        <w:rPr>
          <w:rFonts w:ascii="Arial" w:hAnsi="Arial" w:cs="Arial"/>
          <w:b/>
          <w:szCs w:val="24"/>
        </w:rPr>
      </w:pPr>
      <w:r w:rsidRPr="00215353">
        <w:rPr>
          <w:rFonts w:ascii="Arial" w:hAnsi="Arial" w:cs="Arial"/>
          <w:b/>
          <w:szCs w:val="24"/>
        </w:rPr>
        <w:t>Természetvédelem</w:t>
      </w:r>
    </w:p>
    <w:p w:rsidR="007071C2" w:rsidRPr="00385343" w:rsidRDefault="007071C2" w:rsidP="00EB5ED1">
      <w:pPr>
        <w:autoSpaceDE w:val="0"/>
        <w:autoSpaceDN w:val="0"/>
        <w:adjustRightInd w:val="0"/>
        <w:spacing w:after="0" w:line="276" w:lineRule="auto"/>
        <w:rPr>
          <w:rFonts w:ascii="Arial" w:hAnsi="Arial" w:cs="Arial"/>
          <w:szCs w:val="24"/>
        </w:rPr>
      </w:pPr>
    </w:p>
    <w:p w:rsidR="007071C2" w:rsidRPr="00215353"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215353">
        <w:rPr>
          <w:rFonts w:ascii="Arial" w:hAnsi="Arial" w:cs="Arial"/>
          <w:i/>
          <w:szCs w:val="24"/>
        </w:rPr>
        <w:t>Zöldterületek. zöldfelületek</w:t>
      </w:r>
    </w:p>
    <w:p w:rsidR="007071C2" w:rsidRPr="00385343" w:rsidRDefault="007071C2" w:rsidP="00EB5ED1">
      <w:pPr>
        <w:autoSpaceDE w:val="0"/>
        <w:autoSpaceDN w:val="0"/>
        <w:adjustRightInd w:val="0"/>
        <w:spacing w:after="0" w:line="276" w:lineRule="auto"/>
        <w:rPr>
          <w:rFonts w:ascii="Arial" w:hAnsi="Arial" w:cs="Arial"/>
          <w:szCs w:val="24"/>
        </w:rPr>
      </w:pPr>
    </w:p>
    <w:p w:rsidR="007071C2" w:rsidRPr="00385343" w:rsidRDefault="007071C2" w:rsidP="00A94878">
      <w:pPr>
        <w:autoSpaceDE w:val="0"/>
        <w:autoSpaceDN w:val="0"/>
        <w:adjustRightInd w:val="0"/>
        <w:spacing w:after="0" w:line="276" w:lineRule="auto"/>
        <w:jc w:val="both"/>
        <w:rPr>
          <w:rFonts w:ascii="Arial" w:hAnsi="Arial" w:cs="Arial"/>
          <w:szCs w:val="24"/>
        </w:rPr>
      </w:pPr>
      <w:r w:rsidRPr="00385343">
        <w:rPr>
          <w:rFonts w:ascii="Arial" w:hAnsi="Arial" w:cs="Arial"/>
          <w:szCs w:val="24"/>
        </w:rPr>
        <w:t xml:space="preserve">A TESZ </w:t>
      </w:r>
      <w:r w:rsidR="00A94878">
        <w:rPr>
          <w:rFonts w:ascii="Arial" w:hAnsi="Arial" w:cs="Arial"/>
          <w:szCs w:val="24"/>
        </w:rPr>
        <w:t xml:space="preserve">az </w:t>
      </w:r>
      <w:r w:rsidRPr="00385343">
        <w:rPr>
          <w:rFonts w:ascii="Arial" w:hAnsi="Arial" w:cs="Arial"/>
          <w:szCs w:val="24"/>
        </w:rPr>
        <w:t>önkormányzati tulajdonú zöldfelület</w:t>
      </w:r>
      <w:r w:rsidR="00A94878">
        <w:rPr>
          <w:rFonts w:ascii="Arial" w:hAnsi="Arial" w:cs="Arial"/>
          <w:szCs w:val="24"/>
        </w:rPr>
        <w:t>eket</w:t>
      </w:r>
      <w:r w:rsidRPr="00385343">
        <w:rPr>
          <w:rFonts w:ascii="Arial" w:hAnsi="Arial" w:cs="Arial"/>
          <w:szCs w:val="24"/>
        </w:rPr>
        <w:t xml:space="preserve"> gondozza</w:t>
      </w:r>
      <w:r w:rsidR="00A94878">
        <w:rPr>
          <w:rFonts w:ascii="Arial" w:hAnsi="Arial" w:cs="Arial"/>
          <w:szCs w:val="24"/>
        </w:rPr>
        <w:t>,</w:t>
      </w:r>
      <w:r w:rsidRPr="00385343">
        <w:rPr>
          <w:rFonts w:ascii="Arial" w:hAnsi="Arial" w:cs="Arial"/>
          <w:szCs w:val="24"/>
        </w:rPr>
        <w:t xml:space="preserve"> a parkokban rendszeresen nyírják a füvet, gondozzák a fákat, virágokat, cserjéket. </w:t>
      </w:r>
      <w:r w:rsidR="00A94878">
        <w:rPr>
          <w:rFonts w:ascii="Arial" w:hAnsi="Arial" w:cs="Arial"/>
          <w:szCs w:val="24"/>
        </w:rPr>
        <w:t>E</w:t>
      </w:r>
      <w:r w:rsidRPr="00385343">
        <w:rPr>
          <w:rFonts w:ascii="Arial" w:hAnsi="Arial" w:cs="Arial"/>
          <w:szCs w:val="24"/>
        </w:rPr>
        <w:t>lvégez</w:t>
      </w:r>
      <w:r w:rsidR="00A94878">
        <w:rPr>
          <w:rFonts w:ascii="Arial" w:hAnsi="Arial" w:cs="Arial"/>
          <w:szCs w:val="24"/>
        </w:rPr>
        <w:t>i</w:t>
      </w:r>
      <w:r w:rsidRPr="00385343">
        <w:rPr>
          <w:rFonts w:ascii="Arial" w:hAnsi="Arial" w:cs="Arial"/>
          <w:szCs w:val="24"/>
        </w:rPr>
        <w:t xml:space="preserve"> az útmenti fák </w:t>
      </w:r>
      <w:r w:rsidRPr="00385343">
        <w:rPr>
          <w:rFonts w:ascii="Arial" w:eastAsia="HiddenHorzOCR" w:hAnsi="Arial" w:cs="Arial"/>
          <w:szCs w:val="24"/>
        </w:rPr>
        <w:t xml:space="preserve">űrszelvényezését </w:t>
      </w:r>
      <w:r w:rsidRPr="00385343">
        <w:rPr>
          <w:rFonts w:ascii="Arial" w:hAnsi="Arial" w:cs="Arial"/>
          <w:szCs w:val="24"/>
        </w:rPr>
        <w:t>a településen.</w:t>
      </w:r>
    </w:p>
    <w:p w:rsidR="007071C2" w:rsidRPr="00385343" w:rsidRDefault="007071C2" w:rsidP="00A94878">
      <w:pPr>
        <w:autoSpaceDE w:val="0"/>
        <w:autoSpaceDN w:val="0"/>
        <w:adjustRightInd w:val="0"/>
        <w:spacing w:after="0" w:line="276" w:lineRule="auto"/>
        <w:jc w:val="both"/>
        <w:rPr>
          <w:rFonts w:ascii="Arial" w:hAnsi="Arial" w:cs="Arial"/>
          <w:szCs w:val="24"/>
        </w:rPr>
      </w:pPr>
    </w:p>
    <w:p w:rsidR="007071C2" w:rsidRPr="00385343" w:rsidRDefault="007071C2" w:rsidP="00A94878">
      <w:pPr>
        <w:autoSpaceDE w:val="0"/>
        <w:autoSpaceDN w:val="0"/>
        <w:adjustRightInd w:val="0"/>
        <w:spacing w:after="0" w:line="276" w:lineRule="auto"/>
        <w:jc w:val="both"/>
        <w:rPr>
          <w:rFonts w:ascii="Arial" w:hAnsi="Arial" w:cs="Arial"/>
          <w:szCs w:val="24"/>
        </w:rPr>
      </w:pPr>
      <w:r w:rsidRPr="00385343">
        <w:rPr>
          <w:rFonts w:ascii="Arial" w:hAnsi="Arial" w:cs="Arial"/>
          <w:szCs w:val="24"/>
        </w:rPr>
        <w:t xml:space="preserve">Az önkormányzati területen beruházási, valamint balesetveszély miatt kellett fákat kivágni. Nagyobb fakivágás a Kis-tónál történt mivel az ott lévő fák belső szerkezete elkorhadt, ezért azok balesetveszélyesek voltak. Beruházáshoz kapcsolódó fakivágás történt a szennyvíztelephez tartozó területen, mivel itt a bővítési </w:t>
      </w:r>
      <w:r w:rsidR="008F7146" w:rsidRPr="00385343">
        <w:rPr>
          <w:rFonts w:ascii="Arial" w:hAnsi="Arial" w:cs="Arial"/>
          <w:szCs w:val="24"/>
        </w:rPr>
        <w:t>munkákat</w:t>
      </w:r>
      <w:r w:rsidRPr="00385343">
        <w:rPr>
          <w:rFonts w:ascii="Arial" w:hAnsi="Arial" w:cs="Arial"/>
          <w:szCs w:val="24"/>
        </w:rPr>
        <w:t xml:space="preserve"> akadályozták az ott lévő fák.</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0620D4"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0620D4">
        <w:rPr>
          <w:rFonts w:ascii="Arial" w:eastAsia="HiddenHorzOCR" w:hAnsi="Arial" w:cs="Arial"/>
          <w:i/>
          <w:szCs w:val="24"/>
        </w:rPr>
        <w:t xml:space="preserve">Termőföld </w:t>
      </w:r>
      <w:r w:rsidRPr="000620D4">
        <w:rPr>
          <w:rFonts w:ascii="Arial" w:hAnsi="Arial" w:cs="Arial"/>
          <w:i/>
          <w:szCs w:val="24"/>
        </w:rPr>
        <w:t>védelme</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Default="007071C2" w:rsidP="00EB5ED1">
      <w:pPr>
        <w:autoSpaceDE w:val="0"/>
        <w:autoSpaceDN w:val="0"/>
        <w:adjustRightInd w:val="0"/>
        <w:spacing w:after="0" w:line="276" w:lineRule="auto"/>
        <w:jc w:val="both"/>
        <w:rPr>
          <w:rFonts w:ascii="Arial" w:hAnsi="Arial" w:cs="Arial"/>
          <w:szCs w:val="24"/>
        </w:rPr>
      </w:pPr>
      <w:r w:rsidRPr="0058137A">
        <w:rPr>
          <w:rFonts w:ascii="Arial" w:hAnsi="Arial" w:cs="Arial"/>
          <w:szCs w:val="24"/>
        </w:rPr>
        <w:t xml:space="preserve">Az adatok alapján a településen a szántóföldek aránya a legnagyobb (59 %), viszonylag nagy terület művelésből kivett (17 %) és az országos átlaghoz mérten alacsony az erdőterületek aránya (11,5 %). Komplex és térségi tájrehabilitációt igényel </w:t>
      </w:r>
      <w:r w:rsidRPr="0058137A">
        <w:rPr>
          <w:rFonts w:ascii="Arial" w:hAnsi="Arial" w:cs="Arial"/>
          <w:szCs w:val="24"/>
        </w:rPr>
        <w:lastRenderedPageBreak/>
        <w:t xml:space="preserve">a Peremarton településrésztől északra található terület, ahol a </w:t>
      </w:r>
      <w:r w:rsidR="00D227ED">
        <w:rPr>
          <w:rFonts w:ascii="Arial" w:hAnsi="Arial" w:cs="Arial"/>
          <w:szCs w:val="24"/>
        </w:rPr>
        <w:t>p</w:t>
      </w:r>
      <w:r w:rsidRPr="0058137A">
        <w:rPr>
          <w:rFonts w:ascii="Arial" w:hAnsi="Arial" w:cs="Arial"/>
          <w:szCs w:val="24"/>
        </w:rPr>
        <w:t xml:space="preserve">eremartoni Vegyipari Vállalat felszámolása nyomán több ezer m3 különböző ipari szennyezést tartalmazó iszap maradt vissza. A terület kármentesítése szerepel az Országos Környezeti Kármentesítési Program Nemzeti Kármentesítési Prioritási Listáján. A településen a talaj mezőgazdasági művelésre alkalmas. A talajt, illetve az alapkőzetben levő vízbázist veszélyeztető tevékenységekre fokozott figyelmet kell fordítani, főként </w:t>
      </w:r>
      <w:r w:rsidR="00363F27">
        <w:rPr>
          <w:rFonts w:ascii="Arial" w:hAnsi="Arial" w:cs="Arial"/>
          <w:szCs w:val="24"/>
        </w:rPr>
        <w:t>P</w:t>
      </w:r>
      <w:r w:rsidRPr="0058137A">
        <w:rPr>
          <w:rFonts w:ascii="Arial" w:hAnsi="Arial" w:cs="Arial"/>
          <w:szCs w:val="24"/>
        </w:rPr>
        <w:t>eremarton településrészen.</w:t>
      </w:r>
    </w:p>
    <w:p w:rsidR="007071C2" w:rsidRDefault="007071C2" w:rsidP="00EB5ED1">
      <w:pPr>
        <w:autoSpaceDE w:val="0"/>
        <w:autoSpaceDN w:val="0"/>
        <w:adjustRightInd w:val="0"/>
        <w:spacing w:after="0" w:line="276" w:lineRule="auto"/>
        <w:jc w:val="both"/>
        <w:rPr>
          <w:rFonts w:ascii="Arial" w:hAnsi="Arial" w:cs="Arial"/>
          <w:szCs w:val="24"/>
        </w:rPr>
      </w:pPr>
    </w:p>
    <w:p w:rsidR="007071C2" w:rsidRPr="0058137A" w:rsidRDefault="007071C2" w:rsidP="00EB5ED1">
      <w:pPr>
        <w:autoSpaceDE w:val="0"/>
        <w:autoSpaceDN w:val="0"/>
        <w:adjustRightInd w:val="0"/>
        <w:spacing w:after="0" w:line="276" w:lineRule="auto"/>
        <w:jc w:val="both"/>
        <w:rPr>
          <w:rFonts w:ascii="Arial" w:hAnsi="Arial" w:cs="Arial"/>
          <w:szCs w:val="24"/>
        </w:rPr>
      </w:pPr>
      <w:r>
        <w:rPr>
          <w:rFonts w:ascii="Arial" w:hAnsi="Arial" w:cs="Arial"/>
          <w:szCs w:val="24"/>
        </w:rPr>
        <w:t>A</w:t>
      </w:r>
      <w:r w:rsidRPr="0058137A">
        <w:rPr>
          <w:rFonts w:ascii="Arial" w:hAnsi="Arial" w:cs="Arial"/>
          <w:szCs w:val="24"/>
        </w:rPr>
        <w:t xml:space="preserve"> település területén elhagyott hulladék lerakásokat meg kell szüntetni.</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0620D4"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0620D4">
        <w:rPr>
          <w:rFonts w:ascii="Arial" w:hAnsi="Arial" w:cs="Arial"/>
          <w:i/>
          <w:szCs w:val="24"/>
        </w:rPr>
        <w:t>Parlagfüves, egyéb elhanyagolt ingatlanok</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Az egészség szempontjából fontos az allergén gyomnövények elleni védekezés Berhida</w:t>
      </w:r>
      <w:r w:rsidRPr="00231736">
        <w:rPr>
          <w:rFonts w:ascii="Arial" w:eastAsia="HiddenHorzOCR" w:hAnsi="Arial" w:cs="Arial"/>
          <w:szCs w:val="24"/>
        </w:rPr>
        <w:t xml:space="preserve"> </w:t>
      </w:r>
      <w:r w:rsidRPr="00231736">
        <w:rPr>
          <w:rFonts w:ascii="Arial" w:hAnsi="Arial" w:cs="Arial"/>
          <w:szCs w:val="24"/>
        </w:rPr>
        <w:t xml:space="preserve">bel és külterületén a </w:t>
      </w:r>
      <w:r w:rsidRPr="00231736">
        <w:rPr>
          <w:rFonts w:ascii="Arial" w:eastAsia="HiddenHorzOCR" w:hAnsi="Arial" w:cs="Arial"/>
          <w:szCs w:val="24"/>
        </w:rPr>
        <w:t xml:space="preserve">parlagfű </w:t>
      </w:r>
      <w:r w:rsidRPr="00231736">
        <w:rPr>
          <w:rFonts w:ascii="Arial" w:hAnsi="Arial" w:cs="Arial"/>
          <w:szCs w:val="24"/>
        </w:rPr>
        <w:t>nagy koncentrációban (30%-os telítettség) nem volt megtalálható sem önkormányzati, sem magánterületen.</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w:t>
      </w:r>
      <w:r w:rsidRPr="00231736">
        <w:rPr>
          <w:rFonts w:ascii="Arial" w:eastAsia="HiddenHorzOCR" w:hAnsi="Arial" w:cs="Arial"/>
          <w:szCs w:val="24"/>
        </w:rPr>
        <w:t xml:space="preserve">Jegyző </w:t>
      </w:r>
      <w:r w:rsidRPr="00231736">
        <w:rPr>
          <w:rFonts w:ascii="Arial" w:hAnsi="Arial" w:cs="Arial"/>
          <w:szCs w:val="24"/>
        </w:rPr>
        <w:t>a kaszálatlan, elhanyagolt ingatlanok használóinak</w:t>
      </w:r>
      <w:r>
        <w:rPr>
          <w:rFonts w:ascii="Arial" w:hAnsi="Arial" w:cs="Arial"/>
          <w:szCs w:val="24"/>
        </w:rPr>
        <w:t xml:space="preserve">, </w:t>
      </w:r>
      <w:r w:rsidRPr="00231736">
        <w:rPr>
          <w:rFonts w:ascii="Arial" w:hAnsi="Arial" w:cs="Arial"/>
          <w:szCs w:val="24"/>
        </w:rPr>
        <w:t xml:space="preserve">vagy tulajdonosainak felszólítást küldött a kaszálás elvégzésére. Belterületi ingatlan és az ingatlan </w:t>
      </w:r>
      <w:r w:rsidRPr="00231736">
        <w:rPr>
          <w:rFonts w:ascii="Arial" w:eastAsia="HiddenHorzOCR" w:hAnsi="Arial" w:cs="Arial"/>
          <w:szCs w:val="24"/>
        </w:rPr>
        <w:t xml:space="preserve">előtti </w:t>
      </w:r>
      <w:r w:rsidRPr="00231736">
        <w:rPr>
          <w:rFonts w:ascii="Arial" w:hAnsi="Arial" w:cs="Arial"/>
          <w:szCs w:val="24"/>
        </w:rPr>
        <w:t xml:space="preserve">zöldsáv kaszálására </w:t>
      </w:r>
      <w:r>
        <w:rPr>
          <w:rFonts w:ascii="Arial" w:hAnsi="Arial" w:cs="Arial"/>
          <w:szCs w:val="24"/>
        </w:rPr>
        <w:t xml:space="preserve">összesen </w:t>
      </w:r>
      <w:r w:rsidRPr="00231736">
        <w:rPr>
          <w:rFonts w:ascii="Arial" w:hAnsi="Arial" w:cs="Arial"/>
          <w:szCs w:val="24"/>
        </w:rPr>
        <w:t>7 ingatlan esetében küldtünk felszólítást a tulajdonosoknak</w:t>
      </w:r>
      <w:r>
        <w:rPr>
          <w:rFonts w:ascii="Arial" w:hAnsi="Arial" w:cs="Arial"/>
          <w:szCs w:val="24"/>
        </w:rPr>
        <w:t xml:space="preserve">, </w:t>
      </w:r>
      <w:r w:rsidRPr="00231736">
        <w:rPr>
          <w:rFonts w:ascii="Arial" w:hAnsi="Arial" w:cs="Arial"/>
          <w:szCs w:val="24"/>
        </w:rPr>
        <w:t>vagy használóknak. Az ingatlanok kaszálását a használók a felszólítás hatására elvégezték.</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Külterületi</w:t>
      </w:r>
      <w:r>
        <w:rPr>
          <w:rFonts w:ascii="Arial" w:hAnsi="Arial" w:cs="Arial"/>
          <w:szCs w:val="24"/>
        </w:rPr>
        <w:t>, illetve</w:t>
      </w:r>
      <w:r w:rsidRPr="00231736">
        <w:rPr>
          <w:rFonts w:ascii="Arial" w:hAnsi="Arial" w:cs="Arial"/>
          <w:szCs w:val="24"/>
        </w:rPr>
        <w:t xml:space="preserve"> </w:t>
      </w:r>
      <w:r>
        <w:rPr>
          <w:rFonts w:ascii="Arial" w:hAnsi="Arial" w:cs="Arial"/>
          <w:szCs w:val="24"/>
        </w:rPr>
        <w:t xml:space="preserve">zártkerti </w:t>
      </w:r>
      <w:r w:rsidRPr="00231736">
        <w:rPr>
          <w:rFonts w:ascii="Arial" w:hAnsi="Arial" w:cs="Arial"/>
          <w:szCs w:val="24"/>
        </w:rPr>
        <w:t>ingatlanok esetében az illetékes eljáró hatóság a Földhivatal volt mely 1 ingatlan esetében járt el</w:t>
      </w:r>
      <w:r>
        <w:rPr>
          <w:rFonts w:ascii="Arial" w:hAnsi="Arial" w:cs="Arial"/>
          <w:szCs w:val="24"/>
        </w:rPr>
        <w:t xml:space="preserve"> itt parlagfű volt az elsődleges gyom.</w:t>
      </w:r>
    </w:p>
    <w:p w:rsidR="00A64C6E" w:rsidRPr="00231736" w:rsidRDefault="00A64C6E" w:rsidP="00EB5ED1">
      <w:pPr>
        <w:autoSpaceDE w:val="0"/>
        <w:autoSpaceDN w:val="0"/>
        <w:adjustRightInd w:val="0"/>
        <w:spacing w:after="0" w:line="276" w:lineRule="auto"/>
        <w:rPr>
          <w:rFonts w:ascii="Arial" w:hAnsi="Arial" w:cs="Arial"/>
          <w:szCs w:val="24"/>
        </w:rPr>
      </w:pPr>
    </w:p>
    <w:p w:rsidR="007071C2" w:rsidRPr="00A64C6E"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A64C6E">
        <w:rPr>
          <w:rFonts w:ascii="Arial" w:hAnsi="Arial" w:cs="Arial"/>
          <w:b/>
          <w:szCs w:val="24"/>
        </w:rPr>
        <w:t>Hulladékgazdálkodás</w:t>
      </w:r>
    </w:p>
    <w:p w:rsidR="007071C2" w:rsidRPr="00231736" w:rsidRDefault="007071C2" w:rsidP="00EB5ED1">
      <w:pPr>
        <w:autoSpaceDE w:val="0"/>
        <w:autoSpaceDN w:val="0"/>
        <w:adjustRightInd w:val="0"/>
        <w:spacing w:after="0" w:line="276" w:lineRule="auto"/>
        <w:rPr>
          <w:rFonts w:ascii="Arial" w:eastAsia="HiddenHorzOCR"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eastAsia="HiddenHorzOCR" w:hAnsi="Arial" w:cs="Arial"/>
          <w:szCs w:val="24"/>
        </w:rPr>
        <w:t xml:space="preserve">Jelentős </w:t>
      </w:r>
      <w:r w:rsidRPr="00231736">
        <w:rPr>
          <w:rFonts w:ascii="Arial" w:hAnsi="Arial" w:cs="Arial"/>
          <w:szCs w:val="24"/>
        </w:rPr>
        <w:t>feladat az illegális hulladéklerakás megakadályozása, az illegális hulladék lerakások felszámoltatása vagy felszámolása.</w:t>
      </w: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A hulladékot összeszedtük, a Várpalotai Járási Hivatalban a szabálysértési feljelentést megtettük.</w:t>
      </w:r>
    </w:p>
    <w:p w:rsidR="00EB5ED1" w:rsidRDefault="00EB5ED1" w:rsidP="00EB5ED1">
      <w:pPr>
        <w:autoSpaceDE w:val="0"/>
        <w:autoSpaceDN w:val="0"/>
        <w:adjustRightInd w:val="0"/>
        <w:spacing w:after="0" w:line="276" w:lineRule="auto"/>
        <w:jc w:val="both"/>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lakossági kommunális hulladék, valamint a szelektív hulladék </w:t>
      </w:r>
      <w:r w:rsidRPr="00231736">
        <w:rPr>
          <w:rFonts w:ascii="Arial" w:eastAsia="HiddenHorzOCR" w:hAnsi="Arial" w:cs="Arial"/>
          <w:szCs w:val="24"/>
        </w:rPr>
        <w:t xml:space="preserve">begyűjtését-elszállítását </w:t>
      </w:r>
      <w:r w:rsidRPr="00231736">
        <w:rPr>
          <w:rFonts w:ascii="Arial" w:hAnsi="Arial" w:cs="Arial"/>
          <w:szCs w:val="24"/>
        </w:rPr>
        <w:t>a "VERTIKÁL</w:t>
      </w:r>
      <w:r w:rsidR="00EB5ED1">
        <w:rPr>
          <w:rFonts w:ascii="Arial" w:hAnsi="Arial" w:cs="Arial"/>
          <w:szCs w:val="24"/>
        </w:rPr>
        <w:t>”</w:t>
      </w:r>
      <w:r w:rsidRPr="00231736">
        <w:rPr>
          <w:rFonts w:ascii="Arial" w:hAnsi="Arial" w:cs="Arial"/>
          <w:szCs w:val="24"/>
        </w:rPr>
        <w:t xml:space="preserve"> Nonprofit </w:t>
      </w:r>
      <w:r w:rsidR="00EB5ED1">
        <w:rPr>
          <w:rFonts w:ascii="Arial" w:hAnsi="Arial" w:cs="Arial"/>
          <w:szCs w:val="24"/>
        </w:rPr>
        <w:t>Zrt.</w:t>
      </w:r>
      <w:r w:rsidRPr="00231736">
        <w:rPr>
          <w:rFonts w:ascii="Arial" w:hAnsi="Arial" w:cs="Arial"/>
          <w:szCs w:val="24"/>
        </w:rPr>
        <w:t xml:space="preserve"> végzi.</w:t>
      </w:r>
    </w:p>
    <w:p w:rsidR="007071C2" w:rsidRDefault="007071C2" w:rsidP="00EB5ED1">
      <w:pPr>
        <w:autoSpaceDE w:val="0"/>
        <w:autoSpaceDN w:val="0"/>
        <w:adjustRightInd w:val="0"/>
        <w:spacing w:after="0" w:line="276" w:lineRule="auto"/>
        <w:rPr>
          <w:rFonts w:ascii="Arial" w:hAnsi="Arial" w:cs="Arial"/>
          <w:szCs w:val="24"/>
        </w:rPr>
      </w:pPr>
    </w:p>
    <w:p w:rsidR="00EB5ED1" w:rsidRDefault="00EB5ED1" w:rsidP="00EB5ED1">
      <w:pPr>
        <w:autoSpaceDE w:val="0"/>
        <w:autoSpaceDN w:val="0"/>
        <w:adjustRightInd w:val="0"/>
        <w:spacing w:after="0" w:line="276" w:lineRule="auto"/>
        <w:rPr>
          <w:rFonts w:ascii="Arial" w:hAnsi="Arial" w:cs="Arial"/>
          <w:szCs w:val="24"/>
        </w:rPr>
      </w:pPr>
      <w:r>
        <w:rPr>
          <w:rFonts w:ascii="Arial" w:hAnsi="Arial" w:cs="Arial"/>
          <w:szCs w:val="24"/>
        </w:rPr>
        <w:t xml:space="preserve">A </w:t>
      </w:r>
      <w:proofErr w:type="spellStart"/>
      <w:r>
        <w:rPr>
          <w:rFonts w:ascii="Arial" w:hAnsi="Arial" w:cs="Arial"/>
          <w:szCs w:val="24"/>
        </w:rPr>
        <w:t>Vertikál</w:t>
      </w:r>
      <w:proofErr w:type="spellEnd"/>
      <w:r>
        <w:rPr>
          <w:rFonts w:ascii="Arial" w:hAnsi="Arial" w:cs="Arial"/>
          <w:szCs w:val="24"/>
        </w:rPr>
        <w:t xml:space="preserve"> Zrt.</w:t>
      </w:r>
      <w:r w:rsidR="000B3C69">
        <w:rPr>
          <w:rFonts w:ascii="Arial" w:hAnsi="Arial" w:cs="Arial"/>
          <w:szCs w:val="24"/>
        </w:rPr>
        <w:t xml:space="preserve"> minden évben kiadványában tájékoztatja a lakosságot, hogy az adott hónapban, melyik szelektíven gyűjthető hulladékot szállítja el, illetve tájékoztatást ad a szelektíven gyűjthető hulladékok fajtájáról, és azok kihelyezésének módjáról.</w:t>
      </w:r>
    </w:p>
    <w:p w:rsidR="00363F27" w:rsidRDefault="000B3C69" w:rsidP="007071C2">
      <w:pPr>
        <w:autoSpaceDE w:val="0"/>
        <w:autoSpaceDN w:val="0"/>
        <w:adjustRightInd w:val="0"/>
        <w:spacing w:after="0" w:line="240" w:lineRule="auto"/>
        <w:rPr>
          <w:rFonts w:ascii="Arial" w:hAnsi="Arial" w:cs="Arial"/>
          <w:szCs w:val="24"/>
        </w:rPr>
      </w:pPr>
      <w:r>
        <w:rPr>
          <w:rFonts w:ascii="Arial" w:hAnsi="Arial" w:cs="Arial"/>
          <w:noProof/>
          <w:szCs w:val="24"/>
        </w:rPr>
        <w:lastRenderedPageBreak/>
        <w:drawing>
          <wp:anchor distT="0" distB="0" distL="114300" distR="114300" simplePos="0" relativeHeight="251665408" behindDoc="0" locked="0" layoutInCell="1" allowOverlap="1">
            <wp:simplePos x="0" y="0"/>
            <wp:positionH relativeFrom="margin">
              <wp:align>right</wp:align>
            </wp:positionH>
            <wp:positionV relativeFrom="paragraph">
              <wp:posOffset>4323537</wp:posOffset>
            </wp:positionV>
            <wp:extent cx="5760720" cy="4074160"/>
            <wp:effectExtent l="0" t="0" r="0" b="2540"/>
            <wp:wrapTopAndBottom/>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erhida_szelektiv_2019_Oldal_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074160"/>
                    </a:xfrm>
                    <a:prstGeom prst="rect">
                      <a:avLst/>
                    </a:prstGeom>
                  </pic:spPr>
                </pic:pic>
              </a:graphicData>
            </a:graphic>
          </wp:anchor>
        </w:drawing>
      </w:r>
      <w:r w:rsidR="00363F27">
        <w:rPr>
          <w:rFonts w:ascii="Arial" w:hAnsi="Arial" w:cs="Arial"/>
          <w:noProof/>
          <w:szCs w:val="24"/>
        </w:rPr>
        <w:drawing>
          <wp:anchor distT="0" distB="0" distL="114300" distR="114300" simplePos="0" relativeHeight="251666432" behindDoc="0" locked="0" layoutInCell="1" allowOverlap="1">
            <wp:simplePos x="0" y="0"/>
            <wp:positionH relativeFrom="column">
              <wp:posOffset>-25</wp:posOffset>
            </wp:positionH>
            <wp:positionV relativeFrom="paragraph">
              <wp:posOffset>610</wp:posOffset>
            </wp:positionV>
            <wp:extent cx="5760720" cy="4070985"/>
            <wp:effectExtent l="0" t="0" r="0" b="5715"/>
            <wp:wrapTopAndBottom/>
            <wp:docPr id="7" name="Kép 7" descr="A képen szöveg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erhida_szelektiv_2019_Oldal_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070985"/>
                    </a:xfrm>
                    <a:prstGeom prst="rect">
                      <a:avLst/>
                    </a:prstGeom>
                  </pic:spPr>
                </pic:pic>
              </a:graphicData>
            </a:graphic>
          </wp:anchor>
        </w:drawing>
      </w:r>
    </w:p>
    <w:p w:rsidR="007071C2"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településünk közterületein összesen </w:t>
      </w:r>
      <w:r w:rsidR="00D227ED">
        <w:rPr>
          <w:rFonts w:ascii="Arial" w:hAnsi="Arial" w:cs="Arial"/>
          <w:szCs w:val="24"/>
        </w:rPr>
        <w:t>6</w:t>
      </w:r>
      <w:r w:rsidRPr="00231736">
        <w:rPr>
          <w:rFonts w:ascii="Arial" w:hAnsi="Arial" w:cs="Arial"/>
          <w:szCs w:val="24"/>
        </w:rPr>
        <w:t xml:space="preserve"> helyen található többfrakciós szelektív</w:t>
      </w:r>
      <w:r>
        <w:rPr>
          <w:rFonts w:ascii="Arial" w:hAnsi="Arial" w:cs="Arial"/>
          <w:szCs w:val="24"/>
        </w:rPr>
        <w:t xml:space="preserve"> </w:t>
      </w:r>
      <w:r w:rsidRPr="00231736">
        <w:rPr>
          <w:rFonts w:ascii="Arial" w:eastAsia="HiddenHorzOCR" w:hAnsi="Arial" w:cs="Arial"/>
          <w:szCs w:val="24"/>
        </w:rPr>
        <w:t xml:space="preserve">hulladékgyűjtő </w:t>
      </w:r>
      <w:r w:rsidRPr="00231736">
        <w:rPr>
          <w:rFonts w:ascii="Arial" w:hAnsi="Arial" w:cs="Arial"/>
          <w:szCs w:val="24"/>
        </w:rPr>
        <w:t>sziget.</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lastRenderedPageBreak/>
        <w:t xml:space="preserve">Berhida, Rákóczi Ferenc és Kossuth </w:t>
      </w:r>
      <w:proofErr w:type="gramStart"/>
      <w:r>
        <w:rPr>
          <w:rFonts w:ascii="Arial" w:hAnsi="Arial" w:cs="Arial"/>
          <w:szCs w:val="24"/>
        </w:rPr>
        <w:t>utca sarok</w:t>
      </w:r>
      <w:proofErr w:type="gramEnd"/>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Berhida, Kiskovácsi utca 43. sarka</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Berhida, Dankó Pista utca ABC előtti közterületen</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Berhida, Bezerédi utca ABC mögötti közterületen</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Peremarton-gyártelep – Orgona úti ABC mögötti közterület</w:t>
      </w:r>
    </w:p>
    <w:p w:rsidR="007071C2"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Peremarton-gyártelep – Jázmin út 3. és 5. számú társasház előtti parkoló</w:t>
      </w:r>
    </w:p>
    <w:p w:rsidR="00D227ED" w:rsidRPr="00D227ED" w:rsidRDefault="00D227ED" w:rsidP="00EB5ED1">
      <w:pPr>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Májusban bonyolította le a szolgáltató a hagyományos </w:t>
      </w:r>
      <w:r w:rsidR="008F7146" w:rsidRPr="00231736">
        <w:rPr>
          <w:rFonts w:ascii="Arial" w:hAnsi="Arial" w:cs="Arial"/>
          <w:szCs w:val="24"/>
        </w:rPr>
        <w:t>lomtalanítást</w:t>
      </w:r>
      <w:r w:rsidRPr="00231736">
        <w:rPr>
          <w:rFonts w:ascii="Arial" w:hAnsi="Arial" w:cs="Arial"/>
          <w:szCs w:val="24"/>
        </w:rPr>
        <w:t xml:space="preserve">. A lakók az ingatlanuk </w:t>
      </w:r>
      <w:r w:rsidRPr="00231736">
        <w:rPr>
          <w:rFonts w:ascii="Arial" w:eastAsia="HiddenHorzOCR" w:hAnsi="Arial" w:cs="Arial"/>
          <w:szCs w:val="24"/>
        </w:rPr>
        <w:t xml:space="preserve">előtti </w:t>
      </w:r>
      <w:r w:rsidRPr="00231736">
        <w:rPr>
          <w:rFonts w:ascii="Arial" w:hAnsi="Arial" w:cs="Arial"/>
          <w:szCs w:val="24"/>
        </w:rPr>
        <w:t>közterületre helyezhették ki a lomjaikat.</w:t>
      </w:r>
    </w:p>
    <w:p w:rsidR="007071C2" w:rsidRPr="00231736" w:rsidRDefault="007071C2" w:rsidP="00EB5ED1">
      <w:pPr>
        <w:autoSpaceDE w:val="0"/>
        <w:autoSpaceDN w:val="0"/>
        <w:adjustRightInd w:val="0"/>
        <w:spacing w:after="0" w:line="276" w:lineRule="auto"/>
        <w:jc w:val="both"/>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A közcsato</w:t>
      </w:r>
      <w:r w:rsidR="00D227ED">
        <w:rPr>
          <w:rFonts w:ascii="Arial" w:hAnsi="Arial" w:cs="Arial"/>
          <w:szCs w:val="24"/>
        </w:rPr>
        <w:t>r</w:t>
      </w:r>
      <w:r w:rsidRPr="00231736">
        <w:rPr>
          <w:rFonts w:ascii="Arial" w:hAnsi="Arial" w:cs="Arial"/>
          <w:szCs w:val="24"/>
        </w:rPr>
        <w:t xml:space="preserve">mára rá nem kötött ingatlanok tulajdonosainak talajterhelési díjat kell befizetniük a helyi adóhatóságnak, melynek mértéke </w:t>
      </w:r>
      <w:proofErr w:type="gramStart"/>
      <w:r w:rsidRPr="00231736">
        <w:rPr>
          <w:rFonts w:ascii="Arial" w:hAnsi="Arial" w:cs="Arial"/>
          <w:szCs w:val="24"/>
        </w:rPr>
        <w:t>3.600,-</w:t>
      </w:r>
      <w:proofErr w:type="gramEnd"/>
      <w:r w:rsidRPr="00231736">
        <w:rPr>
          <w:rFonts w:ascii="Arial" w:hAnsi="Arial" w:cs="Arial"/>
          <w:szCs w:val="24"/>
        </w:rPr>
        <w:t>Ft/m</w:t>
      </w:r>
      <w:r w:rsidRPr="00AE1BA9">
        <w:rPr>
          <w:rFonts w:ascii="Arial" w:hAnsi="Arial" w:cs="Arial"/>
          <w:szCs w:val="24"/>
          <w:vertAlign w:val="superscript"/>
        </w:rPr>
        <w:t>3</w:t>
      </w:r>
      <w:r w:rsidRPr="00231736">
        <w:rPr>
          <w:rFonts w:ascii="Arial" w:hAnsi="Arial" w:cs="Arial"/>
          <w:szCs w:val="24"/>
        </w:rPr>
        <w:t xml:space="preserve"> A </w:t>
      </w:r>
      <w:r w:rsidRPr="00231736">
        <w:rPr>
          <w:rFonts w:ascii="Arial" w:eastAsia="HiddenHorzOCR" w:hAnsi="Arial" w:cs="Arial"/>
          <w:szCs w:val="24"/>
        </w:rPr>
        <w:t>bef</w:t>
      </w:r>
      <w:r>
        <w:rPr>
          <w:rFonts w:ascii="Arial" w:eastAsia="HiddenHorzOCR" w:hAnsi="Arial" w:cs="Arial"/>
          <w:szCs w:val="24"/>
        </w:rPr>
        <w:t>i</w:t>
      </w:r>
      <w:r w:rsidRPr="00231736">
        <w:rPr>
          <w:rFonts w:ascii="Arial" w:eastAsia="HiddenHorzOCR" w:hAnsi="Arial" w:cs="Arial"/>
          <w:szCs w:val="24"/>
        </w:rPr>
        <w:t xml:space="preserve">zetendő </w:t>
      </w:r>
      <w:r w:rsidRPr="00231736">
        <w:rPr>
          <w:rFonts w:ascii="Arial" w:hAnsi="Arial" w:cs="Arial"/>
          <w:szCs w:val="24"/>
        </w:rPr>
        <w:t xml:space="preserve">összeg az ingatlanon elhasznált vízmennyiségnek a függvénye. A vízfogyasztás mennyiségét a Bakonykarszt Zrt. </w:t>
      </w:r>
      <w:r>
        <w:rPr>
          <w:rFonts w:ascii="Arial" w:hAnsi="Arial" w:cs="Arial"/>
          <w:szCs w:val="24"/>
        </w:rPr>
        <w:t>küldi meg az önkormányzat számára</w:t>
      </w:r>
      <w:r w:rsidRPr="00231736">
        <w:rPr>
          <w:rFonts w:ascii="Arial" w:hAnsi="Arial" w:cs="Arial"/>
          <w:szCs w:val="24"/>
        </w:rPr>
        <w:t xml:space="preserve">. Településünkön 25 ingatlan esetében van talajterhelési díj </w:t>
      </w:r>
      <w:r>
        <w:rPr>
          <w:rFonts w:ascii="Arial" w:hAnsi="Arial" w:cs="Arial"/>
          <w:szCs w:val="24"/>
        </w:rPr>
        <w:t>megállapítva</w:t>
      </w:r>
      <w:r w:rsidRPr="00231736">
        <w:rPr>
          <w:rFonts w:ascii="Arial" w:hAnsi="Arial" w:cs="Arial"/>
          <w:szCs w:val="24"/>
        </w:rPr>
        <w:t>.</w:t>
      </w:r>
    </w:p>
    <w:p w:rsidR="00C11142" w:rsidRPr="00231736" w:rsidRDefault="00C11142" w:rsidP="00EB5ED1">
      <w:pPr>
        <w:autoSpaceDE w:val="0"/>
        <w:autoSpaceDN w:val="0"/>
        <w:adjustRightInd w:val="0"/>
        <w:spacing w:after="0" w:line="276" w:lineRule="auto"/>
        <w:rPr>
          <w:rFonts w:ascii="Arial" w:hAnsi="Arial" w:cs="Arial"/>
          <w:szCs w:val="24"/>
        </w:rPr>
      </w:pPr>
    </w:p>
    <w:p w:rsidR="007071C2" w:rsidRPr="004437EA"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4437EA">
        <w:rPr>
          <w:rFonts w:ascii="Arial" w:hAnsi="Arial" w:cs="Arial"/>
          <w:b/>
          <w:szCs w:val="24"/>
        </w:rPr>
        <w:t>Zaj- és rezgésvédelem</w:t>
      </w:r>
    </w:p>
    <w:p w:rsidR="007071C2" w:rsidRDefault="007071C2" w:rsidP="00EB5ED1">
      <w:pPr>
        <w:autoSpaceDE w:val="0"/>
        <w:autoSpaceDN w:val="0"/>
        <w:adjustRightInd w:val="0"/>
        <w:spacing w:after="0" w:line="276" w:lineRule="auto"/>
        <w:jc w:val="both"/>
        <w:rPr>
          <w:rFonts w:ascii="Arial" w:hAnsi="Arial" w:cs="Arial"/>
          <w:szCs w:val="24"/>
        </w:rPr>
      </w:pPr>
    </w:p>
    <w:p w:rsidR="007071C2" w:rsidRPr="00747079" w:rsidRDefault="007071C2" w:rsidP="00EB5ED1">
      <w:pPr>
        <w:spacing w:after="0" w:line="276" w:lineRule="auto"/>
        <w:jc w:val="both"/>
        <w:rPr>
          <w:rFonts w:ascii="Arial" w:hAnsi="Arial" w:cs="Arial"/>
        </w:rPr>
      </w:pPr>
      <w:r w:rsidRPr="00747079">
        <w:rPr>
          <w:rFonts w:ascii="Arial" w:hAnsi="Arial" w:cs="Arial"/>
        </w:rPr>
        <w:t>A település zajterhelését leginkább a városon átmenő közúti forgalom zaja okozza. Az alábbiakban bemutatjuk a közúti közlekedésből eredő az adott út és időszakaszokhoz tartozó hangnyomásszinteket (továbbiakban</w:t>
      </w:r>
      <w:r>
        <w:rPr>
          <w:rFonts w:ascii="Arial" w:hAnsi="Arial" w:cs="Arial"/>
        </w:rPr>
        <w:t>:</w:t>
      </w:r>
      <w:r w:rsidRPr="00747079">
        <w:rPr>
          <w:rFonts w:ascii="Arial" w:hAnsi="Arial" w:cs="Arial"/>
        </w:rPr>
        <w:t xml:space="preserve"> zajterhelés).</w:t>
      </w:r>
    </w:p>
    <w:p w:rsidR="007071C2" w:rsidRPr="00747079" w:rsidRDefault="007071C2" w:rsidP="00EB5ED1">
      <w:pPr>
        <w:spacing w:after="0" w:line="276" w:lineRule="auto"/>
        <w:jc w:val="both"/>
        <w:rPr>
          <w:rFonts w:ascii="Arial" w:hAnsi="Arial" w:cs="Arial"/>
        </w:rPr>
      </w:pP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7"/>
        <w:gridCol w:w="1559"/>
        <w:gridCol w:w="1559"/>
        <w:gridCol w:w="1701"/>
        <w:gridCol w:w="1418"/>
        <w:gridCol w:w="1385"/>
      </w:tblGrid>
      <w:tr w:rsidR="007071C2" w:rsidRPr="00747079" w:rsidTr="00BE2890">
        <w:trPr>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Útszakasz</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Beépítés jellege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Nappali zajterhelés, dB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Határérték nappal, dB</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Éjszakai zajterhelés, dB</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Határérték éjjel, dB</w:t>
            </w:r>
          </w:p>
        </w:tc>
      </w:tr>
      <w:tr w:rsidR="007071C2" w:rsidRPr="00747079" w:rsidTr="00BE2890">
        <w:trPr>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BE2890">
            <w:pPr>
              <w:pStyle w:val="lfej"/>
              <w:tabs>
                <w:tab w:val="clear" w:pos="9072"/>
              </w:tabs>
              <w:jc w:val="both"/>
              <w:rPr>
                <w:rFonts w:cs="Arial"/>
                <w:szCs w:val="24"/>
              </w:rPr>
            </w:pPr>
            <w:r w:rsidRPr="00747079">
              <w:rPr>
                <w:rFonts w:cs="Arial"/>
                <w:szCs w:val="24"/>
              </w:rPr>
              <w:t>7202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BE2890">
            <w:pPr>
              <w:pStyle w:val="lfej"/>
              <w:tabs>
                <w:tab w:val="clear" w:pos="9072"/>
              </w:tabs>
              <w:jc w:val="both"/>
              <w:rPr>
                <w:rFonts w:cs="Arial"/>
                <w:szCs w:val="24"/>
              </w:rPr>
            </w:pPr>
            <w:r w:rsidRPr="00747079">
              <w:rPr>
                <w:rFonts w:cs="Arial"/>
                <w:szCs w:val="24"/>
              </w:rPr>
              <w:t>laza kertvárosias</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7071C2" w:rsidRPr="00747079" w:rsidRDefault="007071C2" w:rsidP="008F7146">
            <w:pPr>
              <w:pStyle w:val="lfej"/>
              <w:tabs>
                <w:tab w:val="clear" w:pos="9072"/>
              </w:tabs>
              <w:jc w:val="center"/>
              <w:rPr>
                <w:rFonts w:cs="Arial"/>
                <w:szCs w:val="24"/>
              </w:rPr>
            </w:pPr>
            <w:r w:rsidRPr="00747079">
              <w:rPr>
                <w:rFonts w:cs="Arial"/>
                <w:szCs w:val="24"/>
              </w:rPr>
              <w:t>63,23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szCs w:val="24"/>
              </w:rPr>
            </w:pPr>
            <w:r w:rsidRPr="00747079">
              <w:rPr>
                <w:rFonts w:cs="Arial"/>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szCs w:val="24"/>
              </w:rPr>
            </w:pPr>
            <w:r w:rsidRPr="00747079">
              <w:rPr>
                <w:rFonts w:cs="Arial"/>
                <w:szCs w:val="24"/>
              </w:rPr>
              <w:t>56,07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szCs w:val="24"/>
              </w:rPr>
            </w:pPr>
            <w:r w:rsidRPr="00747079">
              <w:rPr>
                <w:rFonts w:cs="Arial"/>
                <w:szCs w:val="24"/>
              </w:rPr>
              <w:t>50,0</w:t>
            </w:r>
          </w:p>
        </w:tc>
      </w:tr>
      <w:tr w:rsidR="007071C2" w:rsidRPr="00747079" w:rsidTr="00BE2890">
        <w:trPr>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both"/>
              <w:rPr>
                <w:rFonts w:cs="Arial"/>
                <w:szCs w:val="24"/>
              </w:rPr>
            </w:pPr>
            <w:r w:rsidRPr="00747079">
              <w:rPr>
                <w:rFonts w:cs="Arial"/>
                <w:szCs w:val="24"/>
              </w:rPr>
              <w:t>7207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both"/>
              <w:rPr>
                <w:rFonts w:cs="Arial"/>
                <w:szCs w:val="24"/>
              </w:rPr>
            </w:pPr>
            <w:r w:rsidRPr="00747079">
              <w:rPr>
                <w:rFonts w:cs="Arial"/>
                <w:szCs w:val="24"/>
              </w:rPr>
              <w:t>laza kertvárosias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65,25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58,41</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50,0</w:t>
            </w:r>
          </w:p>
        </w:tc>
      </w:tr>
    </w:tbl>
    <w:p w:rsidR="007071C2" w:rsidRDefault="007071C2" w:rsidP="00EB5ED1">
      <w:pPr>
        <w:pStyle w:val="lfej"/>
        <w:tabs>
          <w:tab w:val="clear" w:pos="9072"/>
        </w:tabs>
        <w:spacing w:line="276" w:lineRule="auto"/>
        <w:jc w:val="both"/>
        <w:rPr>
          <w:rFonts w:cs="Arial"/>
          <w:bCs/>
          <w:szCs w:val="24"/>
        </w:rPr>
      </w:pPr>
    </w:p>
    <w:p w:rsidR="007071C2" w:rsidRDefault="007071C2" w:rsidP="00EB5ED1">
      <w:pPr>
        <w:pStyle w:val="lfej"/>
        <w:tabs>
          <w:tab w:val="clear" w:pos="4536"/>
          <w:tab w:val="clear" w:pos="9072"/>
        </w:tabs>
        <w:spacing w:line="276" w:lineRule="auto"/>
        <w:jc w:val="both"/>
        <w:rPr>
          <w:rFonts w:cs="Arial"/>
          <w:bCs/>
          <w:szCs w:val="24"/>
        </w:rPr>
      </w:pPr>
      <w:r>
        <w:rPr>
          <w:rFonts w:cs="Arial"/>
          <w:bCs/>
          <w:szCs w:val="24"/>
        </w:rPr>
        <w:t>Útszakaszok várható zajterhelése, és a zajterhelési határértékek napszakokra lebontva.</w:t>
      </w:r>
    </w:p>
    <w:p w:rsidR="007071C2" w:rsidRPr="00231736" w:rsidRDefault="007071C2" w:rsidP="00EB5ED1">
      <w:pPr>
        <w:pStyle w:val="lfej"/>
        <w:tabs>
          <w:tab w:val="clear" w:pos="4536"/>
          <w:tab w:val="clear" w:pos="9072"/>
        </w:tabs>
        <w:spacing w:line="276" w:lineRule="auto"/>
        <w:jc w:val="both"/>
        <w:rPr>
          <w:rFonts w:cs="Arial"/>
          <w:bCs/>
          <w:szCs w:val="24"/>
        </w:rPr>
      </w:pPr>
    </w:p>
    <w:p w:rsidR="007071C2" w:rsidRPr="00747079" w:rsidRDefault="007071C2" w:rsidP="00EB5ED1">
      <w:pPr>
        <w:pStyle w:val="lfej"/>
        <w:tabs>
          <w:tab w:val="clear" w:pos="9072"/>
        </w:tabs>
        <w:spacing w:line="276" w:lineRule="auto"/>
        <w:jc w:val="both"/>
        <w:rPr>
          <w:rFonts w:cs="Arial"/>
          <w:bCs/>
          <w:szCs w:val="24"/>
        </w:rPr>
      </w:pPr>
      <w:r w:rsidRPr="00747079">
        <w:rPr>
          <w:rFonts w:cs="Arial"/>
          <w:bCs/>
          <w:szCs w:val="24"/>
        </w:rPr>
        <w:t>A zajterhelés várható mértéke szinte minden esetben meghaladja a határértéket. Zajvédelmi létesítmény tervezése ezért minden építési tevékenységnél szükséges. A megengedett zajérték csak a forgalom csökkentésével lenne betartható.</w:t>
      </w:r>
    </w:p>
    <w:p w:rsidR="007071C2" w:rsidRDefault="007071C2" w:rsidP="00EB5ED1">
      <w:pPr>
        <w:autoSpaceDE w:val="0"/>
        <w:autoSpaceDN w:val="0"/>
        <w:adjustRightInd w:val="0"/>
        <w:spacing w:after="0" w:line="276" w:lineRule="auto"/>
        <w:jc w:val="both"/>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w:t>
      </w:r>
      <w:r>
        <w:rPr>
          <w:rFonts w:ascii="Arial" w:hAnsi="Arial" w:cs="Arial"/>
          <w:szCs w:val="24"/>
        </w:rPr>
        <w:t>Veszprémi</w:t>
      </w:r>
      <w:r w:rsidRPr="00231736">
        <w:rPr>
          <w:rFonts w:ascii="Arial" w:hAnsi="Arial" w:cs="Arial"/>
          <w:szCs w:val="24"/>
        </w:rPr>
        <w:t xml:space="preserve"> út</w:t>
      </w:r>
      <w:r>
        <w:rPr>
          <w:rFonts w:ascii="Arial" w:hAnsi="Arial" w:cs="Arial"/>
          <w:szCs w:val="24"/>
        </w:rPr>
        <w:t xml:space="preserve">, Péti út, </w:t>
      </w:r>
      <w:r w:rsidRPr="00231736">
        <w:rPr>
          <w:rFonts w:ascii="Arial" w:hAnsi="Arial" w:cs="Arial"/>
          <w:szCs w:val="24"/>
        </w:rPr>
        <w:t xml:space="preserve">mellett lakókat </w:t>
      </w:r>
      <w:r>
        <w:rPr>
          <w:rFonts w:ascii="Arial" w:hAnsi="Arial" w:cs="Arial"/>
          <w:szCs w:val="24"/>
        </w:rPr>
        <w:t xml:space="preserve">– </w:t>
      </w:r>
      <w:r w:rsidRPr="00231736">
        <w:rPr>
          <w:rFonts w:ascii="Arial" w:hAnsi="Arial" w:cs="Arial"/>
          <w:szCs w:val="24"/>
        </w:rPr>
        <w:t>évek óta</w:t>
      </w:r>
      <w:r>
        <w:rPr>
          <w:rFonts w:ascii="Arial" w:hAnsi="Arial" w:cs="Arial"/>
          <w:szCs w:val="24"/>
        </w:rPr>
        <w:t xml:space="preserve"> –</w:t>
      </w:r>
      <w:r w:rsidRPr="00231736">
        <w:rPr>
          <w:rFonts w:ascii="Arial" w:hAnsi="Arial" w:cs="Arial"/>
          <w:szCs w:val="24"/>
        </w:rPr>
        <w:t xml:space="preserve"> terheli a nagy zaj. A Magyar Állam tulajdonában és a</w:t>
      </w:r>
      <w:r>
        <w:rPr>
          <w:rFonts w:ascii="Arial" w:hAnsi="Arial" w:cs="Arial"/>
          <w:szCs w:val="24"/>
        </w:rPr>
        <w:t xml:space="preserve"> </w:t>
      </w:r>
      <w:r w:rsidRPr="00231736">
        <w:rPr>
          <w:rFonts w:ascii="Arial" w:hAnsi="Arial" w:cs="Arial"/>
          <w:szCs w:val="24"/>
        </w:rPr>
        <w:t xml:space="preserve">Közút Kht, kezelésében </w:t>
      </w:r>
      <w:r w:rsidRPr="00231736">
        <w:rPr>
          <w:rFonts w:ascii="Arial" w:eastAsia="HiddenHorzOCR" w:hAnsi="Arial" w:cs="Arial"/>
          <w:szCs w:val="24"/>
        </w:rPr>
        <w:t xml:space="preserve">lévő </w:t>
      </w:r>
      <w:r w:rsidRPr="00231736">
        <w:rPr>
          <w:rFonts w:ascii="Arial" w:hAnsi="Arial" w:cs="Arial"/>
          <w:szCs w:val="24"/>
        </w:rPr>
        <w:t>úton nagy a</w:t>
      </w:r>
      <w:r>
        <w:rPr>
          <w:rFonts w:ascii="Arial" w:hAnsi="Arial" w:cs="Arial"/>
          <w:szCs w:val="24"/>
        </w:rPr>
        <w:t xml:space="preserve"> teher</w:t>
      </w:r>
      <w:r w:rsidRPr="00231736">
        <w:rPr>
          <w:rFonts w:ascii="Arial" w:eastAsia="HiddenHorzOCR" w:hAnsi="Arial" w:cs="Arial"/>
          <w:szCs w:val="24"/>
        </w:rPr>
        <w:t xml:space="preserve">gépjármű </w:t>
      </w:r>
      <w:r w:rsidRPr="00231736">
        <w:rPr>
          <w:rFonts w:ascii="Arial" w:hAnsi="Arial" w:cs="Arial"/>
          <w:szCs w:val="24"/>
        </w:rPr>
        <w:t>forgalom.</w:t>
      </w:r>
    </w:p>
    <w:p w:rsidR="007071C2" w:rsidRDefault="007071C2" w:rsidP="00EB5ED1">
      <w:pPr>
        <w:autoSpaceDE w:val="0"/>
        <w:autoSpaceDN w:val="0"/>
        <w:adjustRightInd w:val="0"/>
        <w:spacing w:after="0" w:line="276" w:lineRule="auto"/>
        <w:jc w:val="both"/>
        <w:rPr>
          <w:rFonts w:ascii="Arial" w:hAnsi="Arial" w:cs="Arial"/>
          <w:szCs w:val="24"/>
        </w:rPr>
      </w:pPr>
    </w:p>
    <w:p w:rsidR="00032ED4" w:rsidRDefault="00032ED4" w:rsidP="00EB5ED1">
      <w:pPr>
        <w:autoSpaceDE w:val="0"/>
        <w:autoSpaceDN w:val="0"/>
        <w:adjustRightInd w:val="0"/>
        <w:spacing w:after="0" w:line="276" w:lineRule="auto"/>
        <w:jc w:val="both"/>
        <w:rPr>
          <w:rFonts w:ascii="Arial" w:hAnsi="Arial" w:cs="Arial"/>
          <w:szCs w:val="24"/>
        </w:rPr>
      </w:pPr>
    </w:p>
    <w:p w:rsidR="00032ED4" w:rsidRDefault="00032ED4" w:rsidP="00EB5ED1">
      <w:pPr>
        <w:autoSpaceDE w:val="0"/>
        <w:autoSpaceDN w:val="0"/>
        <w:adjustRightInd w:val="0"/>
        <w:spacing w:after="0" w:line="276" w:lineRule="auto"/>
        <w:jc w:val="both"/>
        <w:rPr>
          <w:rFonts w:ascii="Arial" w:hAnsi="Arial" w:cs="Arial"/>
          <w:szCs w:val="24"/>
        </w:rPr>
      </w:pPr>
    </w:p>
    <w:p w:rsidR="00363F27" w:rsidRDefault="00363F27" w:rsidP="00EB5ED1">
      <w:pPr>
        <w:autoSpaceDE w:val="0"/>
        <w:autoSpaceDN w:val="0"/>
        <w:adjustRightInd w:val="0"/>
        <w:spacing w:after="0" w:line="276" w:lineRule="auto"/>
        <w:jc w:val="both"/>
        <w:rPr>
          <w:rFonts w:ascii="Arial" w:hAnsi="Arial" w:cs="Arial"/>
          <w:szCs w:val="24"/>
        </w:rPr>
      </w:pPr>
    </w:p>
    <w:p w:rsidR="00363F27" w:rsidRPr="00231736" w:rsidRDefault="00363F27" w:rsidP="00EB5ED1">
      <w:pPr>
        <w:autoSpaceDE w:val="0"/>
        <w:autoSpaceDN w:val="0"/>
        <w:adjustRightInd w:val="0"/>
        <w:spacing w:after="0" w:line="276" w:lineRule="auto"/>
        <w:jc w:val="both"/>
        <w:rPr>
          <w:rFonts w:ascii="Arial" w:hAnsi="Arial" w:cs="Arial"/>
          <w:szCs w:val="24"/>
        </w:rPr>
      </w:pPr>
    </w:p>
    <w:p w:rsidR="007071C2" w:rsidRPr="004437EA"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4437EA">
        <w:rPr>
          <w:rFonts w:ascii="Arial" w:hAnsi="Arial" w:cs="Arial"/>
          <w:b/>
          <w:szCs w:val="24"/>
        </w:rPr>
        <w:lastRenderedPageBreak/>
        <w:t>A lakosság egészségi állapota</w:t>
      </w:r>
    </w:p>
    <w:p w:rsidR="007071C2" w:rsidRDefault="007071C2" w:rsidP="00EB5ED1">
      <w:pPr>
        <w:autoSpaceDE w:val="0"/>
        <w:autoSpaceDN w:val="0"/>
        <w:adjustRightInd w:val="0"/>
        <w:spacing w:after="0" w:line="276" w:lineRule="auto"/>
        <w:rPr>
          <w:rFonts w:ascii="Arial" w:hAnsi="Arial" w:cs="Arial"/>
          <w:szCs w:val="24"/>
        </w:rPr>
      </w:pPr>
    </w:p>
    <w:p w:rsidR="007071C2" w:rsidRPr="004437EA"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4437EA">
        <w:rPr>
          <w:rFonts w:ascii="Arial" w:hAnsi="Arial" w:cs="Arial"/>
          <w:i/>
          <w:szCs w:val="24"/>
        </w:rPr>
        <w:t>Magyarország álladó lakossága</w:t>
      </w:r>
    </w:p>
    <w:p w:rsidR="007071C2" w:rsidRDefault="007071C2" w:rsidP="00EB5ED1">
      <w:pPr>
        <w:spacing w:after="0" w:line="276" w:lineRule="auto"/>
        <w:jc w:val="both"/>
        <w:rPr>
          <w:rFonts w:ascii="Arial" w:eastAsia="Times New Roman" w:hAnsi="Arial" w:cs="Arial"/>
          <w:bCs/>
          <w:szCs w:val="24"/>
          <w:lang w:eastAsia="hu-HU"/>
        </w:rPr>
      </w:pPr>
      <w:r w:rsidRPr="00312521">
        <w:rPr>
          <w:rFonts w:ascii="Arial" w:eastAsia="Times New Roman" w:hAnsi="Arial" w:cs="Arial"/>
          <w:bCs/>
          <w:szCs w:val="24"/>
          <w:lang w:eastAsia="hu-HU"/>
        </w:rPr>
        <w:t>Magyarország állandó lakossága 2018. január 1-jén</w:t>
      </w:r>
      <w:r>
        <w:rPr>
          <w:rFonts w:ascii="Arial" w:eastAsia="Times New Roman" w:hAnsi="Arial" w:cs="Arial"/>
          <w:bCs/>
          <w:szCs w:val="24"/>
          <w:lang w:eastAsia="hu-HU"/>
        </w:rPr>
        <w:t xml:space="preserve"> közölt adatok szerint</w:t>
      </w:r>
      <w:r w:rsidRPr="00312521">
        <w:rPr>
          <w:rFonts w:ascii="Arial" w:eastAsia="Times New Roman" w:hAnsi="Arial" w:cs="Arial"/>
          <w:bCs/>
          <w:szCs w:val="24"/>
          <w:lang w:eastAsia="hu-HU"/>
        </w:rPr>
        <w:t xml:space="preserve">: </w:t>
      </w:r>
      <w:r w:rsidRPr="00312521">
        <w:rPr>
          <w:rFonts w:ascii="Arial" w:eastAsia="Times New Roman" w:hAnsi="Arial" w:cs="Arial"/>
          <w:bCs/>
          <w:color w:val="008000"/>
          <w:szCs w:val="24"/>
          <w:lang w:eastAsia="hu-HU"/>
        </w:rPr>
        <w:t>9</w:t>
      </w:r>
      <w:r>
        <w:rPr>
          <w:rFonts w:ascii="Arial" w:eastAsia="Times New Roman" w:hAnsi="Arial" w:cs="Arial"/>
          <w:bCs/>
          <w:color w:val="008000"/>
          <w:szCs w:val="24"/>
          <w:lang w:eastAsia="hu-HU"/>
        </w:rPr>
        <w:t>.</w:t>
      </w:r>
      <w:r w:rsidRPr="00312521">
        <w:rPr>
          <w:rFonts w:ascii="Arial" w:eastAsia="Times New Roman" w:hAnsi="Arial" w:cs="Arial"/>
          <w:bCs/>
          <w:color w:val="008000"/>
          <w:szCs w:val="24"/>
          <w:lang w:eastAsia="hu-HU"/>
        </w:rPr>
        <w:t>970</w:t>
      </w:r>
      <w:r>
        <w:rPr>
          <w:rFonts w:ascii="Arial" w:eastAsia="Times New Roman" w:hAnsi="Arial" w:cs="Arial"/>
          <w:bCs/>
          <w:color w:val="008000"/>
          <w:szCs w:val="24"/>
          <w:lang w:eastAsia="hu-HU"/>
        </w:rPr>
        <w:t>.</w:t>
      </w:r>
      <w:r w:rsidRPr="00312521">
        <w:rPr>
          <w:rFonts w:ascii="Arial" w:eastAsia="Times New Roman" w:hAnsi="Arial" w:cs="Arial"/>
          <w:bCs/>
          <w:color w:val="008000"/>
          <w:szCs w:val="24"/>
          <w:lang w:eastAsia="hu-HU"/>
        </w:rPr>
        <w:t>906</w:t>
      </w:r>
      <w:r w:rsidRPr="00312521">
        <w:rPr>
          <w:rFonts w:ascii="Arial" w:eastAsia="Times New Roman" w:hAnsi="Arial" w:cs="Arial"/>
          <w:bCs/>
          <w:szCs w:val="24"/>
          <w:lang w:eastAsia="hu-HU"/>
        </w:rPr>
        <w:t xml:space="preserve"> (férfi:</w:t>
      </w:r>
      <w:r w:rsidRPr="00312521">
        <w:rPr>
          <w:rFonts w:ascii="Arial" w:eastAsia="Times New Roman" w:hAnsi="Arial" w:cs="Arial"/>
          <w:bCs/>
          <w:color w:val="0000FF"/>
          <w:szCs w:val="24"/>
          <w:lang w:eastAsia="hu-HU"/>
        </w:rPr>
        <w:t>4</w:t>
      </w:r>
      <w:r>
        <w:rPr>
          <w:rFonts w:ascii="Arial" w:eastAsia="Times New Roman" w:hAnsi="Arial" w:cs="Arial"/>
          <w:bCs/>
          <w:color w:val="0000FF"/>
          <w:szCs w:val="24"/>
          <w:lang w:eastAsia="hu-HU"/>
        </w:rPr>
        <w:t>.</w:t>
      </w:r>
      <w:r w:rsidRPr="00312521">
        <w:rPr>
          <w:rFonts w:ascii="Arial" w:eastAsia="Times New Roman" w:hAnsi="Arial" w:cs="Arial"/>
          <w:bCs/>
          <w:color w:val="0000FF"/>
          <w:szCs w:val="24"/>
          <w:lang w:eastAsia="hu-HU"/>
        </w:rPr>
        <w:t>798</w:t>
      </w:r>
      <w:r>
        <w:rPr>
          <w:rFonts w:ascii="Arial" w:eastAsia="Times New Roman" w:hAnsi="Arial" w:cs="Arial"/>
          <w:bCs/>
          <w:color w:val="0000FF"/>
          <w:szCs w:val="24"/>
          <w:lang w:eastAsia="hu-HU"/>
        </w:rPr>
        <w:t>.</w:t>
      </w:r>
      <w:r w:rsidRPr="00312521">
        <w:rPr>
          <w:rFonts w:ascii="Arial" w:eastAsia="Times New Roman" w:hAnsi="Arial" w:cs="Arial"/>
          <w:bCs/>
          <w:color w:val="0000FF"/>
          <w:szCs w:val="24"/>
          <w:lang w:eastAsia="hu-HU"/>
        </w:rPr>
        <w:t>425</w:t>
      </w:r>
      <w:r w:rsidRPr="00312521">
        <w:rPr>
          <w:rFonts w:ascii="Arial" w:eastAsia="Times New Roman" w:hAnsi="Arial" w:cs="Arial"/>
          <w:bCs/>
          <w:szCs w:val="24"/>
          <w:lang w:eastAsia="hu-HU"/>
        </w:rPr>
        <w:t xml:space="preserve">; nő: </w:t>
      </w:r>
      <w:r w:rsidRPr="00312521">
        <w:rPr>
          <w:rFonts w:ascii="Arial" w:eastAsia="Times New Roman" w:hAnsi="Arial" w:cs="Arial"/>
          <w:bCs/>
          <w:color w:val="FF0000"/>
          <w:szCs w:val="24"/>
          <w:lang w:eastAsia="hu-HU"/>
        </w:rPr>
        <w:t>5</w:t>
      </w:r>
      <w:r>
        <w:rPr>
          <w:rFonts w:ascii="Arial" w:eastAsia="Times New Roman" w:hAnsi="Arial" w:cs="Arial"/>
          <w:bCs/>
          <w:color w:val="FF0000"/>
          <w:szCs w:val="24"/>
          <w:lang w:eastAsia="hu-HU"/>
        </w:rPr>
        <w:t>.</w:t>
      </w:r>
      <w:r w:rsidRPr="00312521">
        <w:rPr>
          <w:rFonts w:ascii="Arial" w:eastAsia="Times New Roman" w:hAnsi="Arial" w:cs="Arial"/>
          <w:bCs/>
          <w:color w:val="FF0000"/>
          <w:szCs w:val="24"/>
          <w:lang w:eastAsia="hu-HU"/>
        </w:rPr>
        <w:t>172</w:t>
      </w:r>
      <w:r>
        <w:rPr>
          <w:rFonts w:ascii="Arial" w:eastAsia="Times New Roman" w:hAnsi="Arial" w:cs="Arial"/>
          <w:bCs/>
          <w:color w:val="FF0000"/>
          <w:szCs w:val="24"/>
          <w:lang w:eastAsia="hu-HU"/>
        </w:rPr>
        <w:t>.</w:t>
      </w:r>
      <w:r w:rsidRPr="00312521">
        <w:rPr>
          <w:rFonts w:ascii="Arial" w:eastAsia="Times New Roman" w:hAnsi="Arial" w:cs="Arial"/>
          <w:bCs/>
          <w:color w:val="FF0000"/>
          <w:szCs w:val="24"/>
          <w:lang w:eastAsia="hu-HU"/>
        </w:rPr>
        <w:t>481</w:t>
      </w:r>
      <w:r w:rsidRPr="00312521">
        <w:rPr>
          <w:rFonts w:ascii="Arial" w:eastAsia="Times New Roman" w:hAnsi="Arial" w:cs="Arial"/>
          <w:bCs/>
          <w:szCs w:val="24"/>
          <w:lang w:eastAsia="hu-HU"/>
        </w:rPr>
        <w:t>)</w:t>
      </w:r>
    </w:p>
    <w:p w:rsidR="007071C2" w:rsidRDefault="007071C2" w:rsidP="00EB5ED1">
      <w:pPr>
        <w:spacing w:after="0" w:line="276" w:lineRule="auto"/>
        <w:jc w:val="both"/>
        <w:rPr>
          <w:rFonts w:ascii="Arial" w:eastAsia="Times New Roman" w:hAnsi="Arial" w:cs="Arial"/>
          <w:bCs/>
          <w:szCs w:val="24"/>
          <w:lang w:eastAsia="hu-HU"/>
        </w:rPr>
      </w:pPr>
    </w:p>
    <w:p w:rsidR="007071C2" w:rsidRDefault="007071C2" w:rsidP="00EB5ED1">
      <w:pPr>
        <w:pStyle w:val="table-title"/>
        <w:spacing w:before="0" w:beforeAutospacing="0" w:after="0" w:afterAutospacing="0" w:line="276" w:lineRule="auto"/>
        <w:rPr>
          <w:rFonts w:ascii="Arial" w:hAnsi="Arial" w:cs="Arial"/>
        </w:rPr>
      </w:pPr>
      <w:r w:rsidRPr="00231736">
        <w:rPr>
          <w:rFonts w:ascii="Arial" w:hAnsi="Arial" w:cs="Arial"/>
        </w:rPr>
        <w:t>A</w:t>
      </w:r>
      <w:r>
        <w:rPr>
          <w:rFonts w:ascii="Arial" w:hAnsi="Arial" w:cs="Arial"/>
        </w:rPr>
        <w:t xml:space="preserve"> </w:t>
      </w:r>
      <w:r w:rsidRPr="00231736">
        <w:rPr>
          <w:rFonts w:ascii="Arial" w:hAnsi="Arial" w:cs="Arial"/>
        </w:rPr>
        <w:t>népmozgalom főbb adatai, 2018. január–december</w:t>
      </w:r>
    </w:p>
    <w:p w:rsidR="007071C2" w:rsidRPr="00231736" w:rsidRDefault="007071C2" w:rsidP="00EB5ED1">
      <w:pPr>
        <w:pStyle w:val="table-title"/>
        <w:spacing w:before="0" w:beforeAutospacing="0" w:after="0" w:afterAutospacing="0" w:line="276" w:lineRule="auto"/>
        <w:rPr>
          <w:rFonts w:ascii="Arial" w:hAnsi="Arial" w:cs="Arial"/>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41"/>
        <w:gridCol w:w="1323"/>
        <w:gridCol w:w="1800"/>
        <w:gridCol w:w="1177"/>
        <w:gridCol w:w="2121"/>
      </w:tblGrid>
      <w:tr w:rsidR="007071C2" w:rsidRPr="00231736" w:rsidTr="00BE2890">
        <w:trPr>
          <w:tblHeade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Népmozgalmi esemény</w:t>
            </w:r>
          </w:p>
        </w:tc>
        <w:tc>
          <w:tcPr>
            <w:tcW w:w="1293"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Száma</w:t>
            </w:r>
          </w:p>
        </w:tc>
        <w:tc>
          <w:tcPr>
            <w:tcW w:w="1770"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Változás az előző év azonos időszakához képest, %</w:t>
            </w:r>
          </w:p>
        </w:tc>
        <w:tc>
          <w:tcPr>
            <w:tcW w:w="1147"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Ezer lakosra</w:t>
            </w:r>
          </w:p>
        </w:tc>
        <w:tc>
          <w:tcPr>
            <w:tcW w:w="2076"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Változás az előző év azonos időszakához képest, %</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Élveszületés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89 800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–1,9</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9,2</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–1,8</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Halálozás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131 100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–0,4</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13,4</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–0,3</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Csecsemőhalálozás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305</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–8,1</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3,4</w:t>
            </w:r>
            <w:r w:rsidRPr="00231736">
              <w:rPr>
                <w:rFonts w:ascii="Arial" w:hAnsi="Arial" w:cs="Arial"/>
                <w:szCs w:val="24"/>
                <w:vertAlign w:val="superscript"/>
              </w:rPr>
              <w:t>a)</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–6,3</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Természetes szaporodás / fogyás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–41 300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3,0</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–4,2</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3,2</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Házasságkötés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50 900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0,6</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5,2</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0,8</w:t>
            </w:r>
          </w:p>
        </w:tc>
      </w:tr>
    </w:tbl>
    <w:p w:rsidR="007071C2" w:rsidRDefault="007071C2" w:rsidP="00EB5ED1">
      <w:pPr>
        <w:spacing w:after="0" w:line="276" w:lineRule="auto"/>
        <w:jc w:val="both"/>
        <w:rPr>
          <w:rFonts w:ascii="Arial" w:eastAsia="Times New Roman" w:hAnsi="Arial" w:cs="Arial"/>
          <w:bCs/>
          <w:szCs w:val="24"/>
          <w:lang w:eastAsia="hu-HU"/>
        </w:rPr>
      </w:pPr>
    </w:p>
    <w:p w:rsidR="007071C2" w:rsidRPr="004437EA" w:rsidRDefault="007071C2" w:rsidP="00EB5ED1">
      <w:pPr>
        <w:pStyle w:val="Listaszerbekezds"/>
        <w:numPr>
          <w:ilvl w:val="1"/>
          <w:numId w:val="6"/>
        </w:numPr>
        <w:spacing w:after="0" w:line="276" w:lineRule="auto"/>
        <w:ind w:left="426"/>
        <w:jc w:val="both"/>
        <w:rPr>
          <w:rFonts w:ascii="Arial" w:eastAsia="Times New Roman" w:hAnsi="Arial" w:cs="Arial"/>
          <w:bCs/>
          <w:i/>
          <w:szCs w:val="24"/>
          <w:lang w:eastAsia="hu-HU"/>
        </w:rPr>
      </w:pPr>
      <w:r w:rsidRPr="004437EA">
        <w:rPr>
          <w:rFonts w:ascii="Arial" w:eastAsia="Times New Roman" w:hAnsi="Arial" w:cs="Arial"/>
          <w:bCs/>
          <w:i/>
          <w:szCs w:val="24"/>
          <w:lang w:eastAsia="hu-HU"/>
        </w:rPr>
        <w:t>Berhida állandó lakossága</w:t>
      </w:r>
    </w:p>
    <w:p w:rsidR="007071C2" w:rsidRDefault="007071C2" w:rsidP="00EB5ED1">
      <w:pPr>
        <w:spacing w:after="0" w:line="276" w:lineRule="auto"/>
        <w:jc w:val="both"/>
        <w:rPr>
          <w:rFonts w:ascii="Arial" w:eastAsia="Times New Roman" w:hAnsi="Arial" w:cs="Arial"/>
          <w:bCs/>
          <w:szCs w:val="24"/>
          <w:lang w:eastAsia="hu-HU"/>
        </w:rPr>
      </w:pPr>
    </w:p>
    <w:p w:rsidR="007071C2" w:rsidRPr="004437EA" w:rsidRDefault="007071C2" w:rsidP="00EB5ED1">
      <w:pPr>
        <w:spacing w:after="0" w:line="276" w:lineRule="auto"/>
        <w:jc w:val="both"/>
        <w:rPr>
          <w:rFonts w:ascii="Arial" w:eastAsia="Times New Roman" w:hAnsi="Arial" w:cs="Arial"/>
          <w:szCs w:val="24"/>
          <w:lang w:eastAsia="hu-HU"/>
        </w:rPr>
      </w:pPr>
      <w:r w:rsidRPr="00231736">
        <w:rPr>
          <w:rFonts w:ascii="Arial" w:eastAsia="Times New Roman" w:hAnsi="Arial" w:cs="Arial"/>
          <w:szCs w:val="24"/>
          <w:lang w:eastAsia="hu-HU"/>
        </w:rPr>
        <w:t xml:space="preserve">Berhida </w:t>
      </w:r>
      <w:r>
        <w:rPr>
          <w:rFonts w:ascii="Arial" w:eastAsia="Times New Roman" w:hAnsi="Arial" w:cs="Arial"/>
          <w:szCs w:val="24"/>
          <w:lang w:eastAsia="hu-HU"/>
        </w:rPr>
        <w:t>állandó lakossága 2018. január 1-jén:</w:t>
      </w:r>
      <w:r w:rsidRPr="00231736">
        <w:rPr>
          <w:rFonts w:ascii="Arial" w:eastAsia="Times New Roman" w:hAnsi="Arial" w:cs="Arial"/>
          <w:szCs w:val="24"/>
          <w:lang w:eastAsia="hu-HU"/>
        </w:rPr>
        <w:t xml:space="preserve"> </w:t>
      </w:r>
      <w:r w:rsidRPr="00811E7F">
        <w:rPr>
          <w:rFonts w:ascii="Arial" w:eastAsia="Times New Roman" w:hAnsi="Arial" w:cs="Arial"/>
          <w:szCs w:val="24"/>
          <w:lang w:eastAsia="hu-HU"/>
        </w:rPr>
        <w:t xml:space="preserve">népessége </w:t>
      </w:r>
      <w:r w:rsidRPr="00811E7F">
        <w:rPr>
          <w:rFonts w:ascii="Arial" w:eastAsia="Times New Roman" w:hAnsi="Arial" w:cs="Arial"/>
          <w:b/>
          <w:szCs w:val="24"/>
          <w:lang w:eastAsia="hu-HU"/>
        </w:rPr>
        <w:t>5972 fő</w:t>
      </w:r>
      <w:r w:rsidRPr="00231736">
        <w:rPr>
          <w:rFonts w:ascii="Arial" w:eastAsia="Times New Roman" w:hAnsi="Arial" w:cs="Arial"/>
          <w:szCs w:val="24"/>
          <w:lang w:eastAsia="hu-HU"/>
        </w:rPr>
        <w:t xml:space="preserve">, ami akkori Magyarország népességének </w:t>
      </w:r>
      <w:r w:rsidRPr="00231736">
        <w:rPr>
          <w:rFonts w:ascii="Arial" w:eastAsia="Times New Roman" w:hAnsi="Arial" w:cs="Arial"/>
          <w:b/>
          <w:bCs/>
          <w:szCs w:val="24"/>
          <w:lang w:eastAsia="hu-HU"/>
        </w:rPr>
        <w:t>0.06%-a</w:t>
      </w:r>
      <w:r w:rsidRPr="00231736">
        <w:rPr>
          <w:rFonts w:ascii="Arial" w:eastAsia="Times New Roman" w:hAnsi="Arial" w:cs="Arial"/>
          <w:szCs w:val="24"/>
          <w:lang w:eastAsia="hu-HU"/>
        </w:rPr>
        <w:t xml:space="preserve"> (Veszprém megyének 1.75%-a). Népsűrűsége 140 fő/km</w:t>
      </w:r>
      <w:r w:rsidRPr="00231736">
        <w:rPr>
          <w:rFonts w:ascii="Arial" w:eastAsia="Times New Roman" w:hAnsi="Arial" w:cs="Arial"/>
          <w:szCs w:val="24"/>
          <w:vertAlign w:val="superscript"/>
          <w:lang w:eastAsia="hu-HU"/>
        </w:rPr>
        <w:t>2</w:t>
      </w:r>
      <w:r w:rsidRPr="00231736">
        <w:rPr>
          <w:rFonts w:ascii="Arial" w:eastAsia="Times New Roman" w:hAnsi="Arial" w:cs="Arial"/>
          <w:szCs w:val="24"/>
          <w:lang w:eastAsia="hu-HU"/>
        </w:rPr>
        <w:t xml:space="preserve">. Lakások száma 2038, népességet figyelembevéve, ez 2.9 fő per lakás. Ha népesség azonos ütemben változna mint </w:t>
      </w:r>
      <w:r>
        <w:rPr>
          <w:rFonts w:ascii="Arial" w:eastAsia="Times New Roman" w:hAnsi="Arial" w:cs="Arial"/>
          <w:szCs w:val="24"/>
          <w:lang w:eastAsia="hu-HU"/>
        </w:rPr>
        <w:t>(</w:t>
      </w:r>
      <w:r w:rsidRPr="00231736">
        <w:rPr>
          <w:rFonts w:ascii="Arial" w:eastAsia="Times New Roman" w:hAnsi="Arial" w:cs="Arial"/>
          <w:szCs w:val="24"/>
          <w:lang w:eastAsia="hu-HU"/>
        </w:rPr>
        <w:t>2017-2018</w:t>
      </w:r>
      <w:r>
        <w:rPr>
          <w:rFonts w:ascii="Arial" w:eastAsia="Times New Roman" w:hAnsi="Arial" w:cs="Arial"/>
          <w:szCs w:val="24"/>
          <w:lang w:eastAsia="hu-HU"/>
        </w:rPr>
        <w:t>)</w:t>
      </w:r>
      <w:r w:rsidRPr="00231736">
        <w:rPr>
          <w:rFonts w:ascii="Arial" w:eastAsia="Times New Roman" w:hAnsi="Arial" w:cs="Arial"/>
          <w:szCs w:val="24"/>
          <w:lang w:eastAsia="hu-HU"/>
        </w:rPr>
        <w:t xml:space="preserve"> időszakban (0.15%/év), 2019-ben Berhida lakossága </w:t>
      </w:r>
      <w:r w:rsidRPr="00231736">
        <w:rPr>
          <w:rFonts w:ascii="Arial" w:eastAsia="Times New Roman" w:hAnsi="Arial" w:cs="Arial"/>
          <w:i/>
          <w:iCs/>
          <w:szCs w:val="24"/>
          <w:lang w:eastAsia="hu-HU"/>
        </w:rPr>
        <w:t>5 981</w:t>
      </w:r>
      <w:r w:rsidRPr="00231736">
        <w:rPr>
          <w:rFonts w:ascii="Arial" w:eastAsia="Times New Roman" w:hAnsi="Arial" w:cs="Arial"/>
          <w:szCs w:val="24"/>
          <w:lang w:eastAsia="hu-HU"/>
        </w:rPr>
        <w:t xml:space="preserve"> lenne.</w:t>
      </w:r>
    </w:p>
    <w:p w:rsidR="007071C2" w:rsidRDefault="007071C2" w:rsidP="00EB5ED1">
      <w:pPr>
        <w:autoSpaceDE w:val="0"/>
        <w:autoSpaceDN w:val="0"/>
        <w:adjustRightInd w:val="0"/>
        <w:spacing w:after="0" w:line="276" w:lineRule="auto"/>
        <w:jc w:val="both"/>
        <w:rPr>
          <w:rFonts w:ascii="Arial" w:hAnsi="Arial" w:cs="Arial"/>
          <w:szCs w:val="24"/>
        </w:rPr>
      </w:pPr>
    </w:p>
    <w:tbl>
      <w:tblPr>
        <w:tblW w:w="8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6"/>
        <w:gridCol w:w="1796"/>
        <w:gridCol w:w="1748"/>
        <w:gridCol w:w="1740"/>
        <w:gridCol w:w="1540"/>
      </w:tblGrid>
      <w:tr w:rsidR="007071C2" w:rsidRPr="008E0865" w:rsidTr="00BE2890">
        <w:trPr>
          <w:trHeight w:val="255"/>
        </w:trPr>
        <w:tc>
          <w:tcPr>
            <w:tcW w:w="2136" w:type="dxa"/>
            <w:shd w:val="clear" w:color="auto" w:fill="auto"/>
            <w:noWrap/>
            <w:vAlign w:val="bottom"/>
          </w:tcPr>
          <w:p w:rsidR="007071C2" w:rsidRDefault="007071C2" w:rsidP="00BE2890">
            <w:pPr>
              <w:spacing w:after="0" w:line="240" w:lineRule="auto"/>
              <w:jc w:val="center"/>
              <w:rPr>
                <w:rFonts w:ascii="Arial" w:eastAsia="Times New Roman" w:hAnsi="Arial" w:cs="Arial"/>
                <w:b/>
                <w:color w:val="000000"/>
                <w:szCs w:val="24"/>
                <w:lang w:eastAsia="hu-HU"/>
              </w:rPr>
            </w:pPr>
            <w:r w:rsidRPr="008E0865">
              <w:rPr>
                <w:rFonts w:ascii="Arial" w:eastAsia="Times New Roman" w:hAnsi="Arial" w:cs="Arial"/>
                <w:b/>
                <w:color w:val="000000"/>
                <w:szCs w:val="24"/>
                <w:lang w:eastAsia="hu-HU"/>
              </w:rPr>
              <w:t>Település</w:t>
            </w:r>
          </w:p>
          <w:p w:rsidR="007071C2" w:rsidRPr="008E0865" w:rsidRDefault="007071C2" w:rsidP="00BE2890">
            <w:pPr>
              <w:spacing w:after="0" w:line="240" w:lineRule="auto"/>
              <w:jc w:val="center"/>
              <w:rPr>
                <w:rFonts w:ascii="Arial" w:eastAsia="Times New Roman" w:hAnsi="Arial" w:cs="Arial"/>
                <w:b/>
                <w:color w:val="000000"/>
                <w:szCs w:val="24"/>
                <w:lang w:eastAsia="hu-HU"/>
              </w:rPr>
            </w:pPr>
          </w:p>
        </w:tc>
        <w:tc>
          <w:tcPr>
            <w:tcW w:w="1796" w:type="dxa"/>
            <w:shd w:val="clear" w:color="auto" w:fill="auto"/>
            <w:noWrap/>
            <w:vAlign w:val="bottom"/>
          </w:tcPr>
          <w:p w:rsidR="007071C2" w:rsidRDefault="007071C2" w:rsidP="00BE2890">
            <w:pPr>
              <w:spacing w:after="0" w:line="240" w:lineRule="auto"/>
              <w:jc w:val="center"/>
              <w:rPr>
                <w:rFonts w:ascii="Arial" w:eastAsia="Times New Roman" w:hAnsi="Arial" w:cs="Arial"/>
                <w:b/>
                <w:color w:val="000000"/>
                <w:szCs w:val="24"/>
                <w:lang w:eastAsia="hu-HU"/>
              </w:rPr>
            </w:pPr>
            <w:r w:rsidRPr="00312521">
              <w:rPr>
                <w:rFonts w:ascii="Arial" w:eastAsia="Times New Roman" w:hAnsi="Arial" w:cs="Arial"/>
                <w:b/>
                <w:color w:val="000000"/>
                <w:szCs w:val="24"/>
                <w:lang w:eastAsia="hu-HU"/>
              </w:rPr>
              <w:t>Vizsgált év</w:t>
            </w:r>
          </w:p>
          <w:p w:rsidR="007071C2" w:rsidRPr="00312521" w:rsidRDefault="007071C2" w:rsidP="00BE2890">
            <w:pPr>
              <w:spacing w:after="0" w:line="240" w:lineRule="auto"/>
              <w:jc w:val="center"/>
              <w:rPr>
                <w:rFonts w:ascii="Arial" w:eastAsia="Times New Roman" w:hAnsi="Arial" w:cs="Arial"/>
                <w:b/>
                <w:color w:val="000000"/>
                <w:szCs w:val="24"/>
                <w:lang w:eastAsia="hu-HU"/>
              </w:rPr>
            </w:pPr>
          </w:p>
        </w:tc>
        <w:tc>
          <w:tcPr>
            <w:tcW w:w="1748" w:type="dxa"/>
            <w:shd w:val="clear" w:color="auto" w:fill="auto"/>
            <w:noWrap/>
            <w:vAlign w:val="bottom"/>
          </w:tcPr>
          <w:p w:rsidR="007071C2" w:rsidRPr="008E0865" w:rsidRDefault="007071C2" w:rsidP="00BE2890">
            <w:pPr>
              <w:spacing w:after="0" w:line="240" w:lineRule="auto"/>
              <w:jc w:val="center"/>
              <w:rPr>
                <w:rFonts w:ascii="Arial" w:eastAsia="Times New Roman" w:hAnsi="Arial" w:cs="Arial"/>
                <w:color w:val="000000"/>
                <w:szCs w:val="24"/>
                <w:lang w:eastAsia="hu-HU"/>
              </w:rPr>
            </w:pPr>
            <w:r w:rsidRPr="008E0865">
              <w:rPr>
                <w:rFonts w:ascii="Arial" w:eastAsia="Times New Roman" w:hAnsi="Arial" w:cs="Arial"/>
                <w:b/>
                <w:bCs/>
                <w:szCs w:val="24"/>
                <w:lang w:eastAsia="hu-HU"/>
              </w:rPr>
              <w:t>Állandó</w:t>
            </w:r>
            <w:r w:rsidRPr="008E0865">
              <w:rPr>
                <w:rFonts w:ascii="Arial" w:eastAsia="Times New Roman" w:hAnsi="Arial" w:cs="Arial"/>
                <w:b/>
                <w:bCs/>
                <w:color w:val="0066CC"/>
                <w:szCs w:val="24"/>
                <w:lang w:eastAsia="hu-HU"/>
              </w:rPr>
              <w:t xml:space="preserve"> </w:t>
            </w:r>
            <w:r w:rsidRPr="008E0865">
              <w:rPr>
                <w:rFonts w:ascii="Arial" w:eastAsia="Times New Roman" w:hAnsi="Arial" w:cs="Arial"/>
                <w:b/>
                <w:bCs/>
                <w:color w:val="3366FF"/>
                <w:szCs w:val="24"/>
                <w:lang w:eastAsia="hu-HU"/>
              </w:rPr>
              <w:t>férfi</w:t>
            </w:r>
            <w:r w:rsidRPr="008E0865">
              <w:rPr>
                <w:rFonts w:ascii="Arial" w:eastAsia="Times New Roman" w:hAnsi="Arial" w:cs="Arial"/>
                <w:b/>
                <w:bCs/>
                <w:szCs w:val="24"/>
                <w:lang w:eastAsia="hu-HU"/>
              </w:rPr>
              <w:br/>
              <w:t>lakosság összesen</w:t>
            </w:r>
          </w:p>
        </w:tc>
        <w:tc>
          <w:tcPr>
            <w:tcW w:w="1740" w:type="dxa"/>
            <w:shd w:val="clear" w:color="auto" w:fill="auto"/>
            <w:noWrap/>
            <w:vAlign w:val="bottom"/>
          </w:tcPr>
          <w:p w:rsidR="007071C2" w:rsidRPr="008E0865" w:rsidRDefault="007071C2" w:rsidP="00BE2890">
            <w:pPr>
              <w:spacing w:after="0" w:line="240" w:lineRule="auto"/>
              <w:jc w:val="center"/>
              <w:rPr>
                <w:rFonts w:ascii="Arial" w:eastAsia="Times New Roman" w:hAnsi="Arial" w:cs="Arial"/>
                <w:b/>
                <w:bCs/>
                <w:color w:val="FF0000"/>
                <w:szCs w:val="24"/>
                <w:lang w:eastAsia="hu-HU"/>
              </w:rPr>
            </w:pPr>
            <w:r w:rsidRPr="008E0865">
              <w:rPr>
                <w:rFonts w:ascii="Arial" w:eastAsia="Times New Roman" w:hAnsi="Arial" w:cs="Arial"/>
                <w:b/>
                <w:bCs/>
                <w:szCs w:val="24"/>
                <w:lang w:eastAsia="hu-HU"/>
              </w:rPr>
              <w:t>Állandó</w:t>
            </w:r>
            <w:r w:rsidRPr="008E0865">
              <w:rPr>
                <w:rFonts w:ascii="Arial" w:eastAsia="Times New Roman" w:hAnsi="Arial" w:cs="Arial"/>
                <w:b/>
                <w:bCs/>
                <w:color w:val="FF0000"/>
                <w:szCs w:val="24"/>
                <w:lang w:eastAsia="hu-HU"/>
              </w:rPr>
              <w:t xml:space="preserve"> női</w:t>
            </w:r>
            <w:r w:rsidRPr="008E0865">
              <w:rPr>
                <w:rFonts w:ascii="Arial" w:eastAsia="Times New Roman" w:hAnsi="Arial" w:cs="Arial"/>
                <w:b/>
                <w:bCs/>
                <w:szCs w:val="24"/>
                <w:lang w:eastAsia="hu-HU"/>
              </w:rPr>
              <w:br/>
              <w:t>lakosság összesen</w:t>
            </w:r>
          </w:p>
        </w:tc>
        <w:tc>
          <w:tcPr>
            <w:tcW w:w="1540" w:type="dxa"/>
            <w:shd w:val="clear" w:color="auto" w:fill="auto"/>
            <w:noWrap/>
            <w:vAlign w:val="bottom"/>
          </w:tcPr>
          <w:p w:rsidR="007071C2" w:rsidRPr="008E0865" w:rsidRDefault="007071C2" w:rsidP="00BE2890">
            <w:pPr>
              <w:spacing w:after="0" w:line="240" w:lineRule="auto"/>
              <w:jc w:val="center"/>
              <w:rPr>
                <w:rFonts w:ascii="Arial" w:eastAsia="Times New Roman" w:hAnsi="Arial" w:cs="Arial"/>
                <w:b/>
                <w:bCs/>
                <w:color w:val="008000"/>
                <w:szCs w:val="24"/>
                <w:lang w:eastAsia="hu-HU"/>
              </w:rPr>
            </w:pPr>
            <w:r w:rsidRPr="008E0865">
              <w:rPr>
                <w:rFonts w:ascii="Arial" w:eastAsia="Times New Roman" w:hAnsi="Arial" w:cs="Arial"/>
                <w:b/>
                <w:bCs/>
                <w:color w:val="008000"/>
                <w:szCs w:val="24"/>
                <w:lang w:eastAsia="hu-HU"/>
              </w:rPr>
              <w:t>Állandó lakosság</w:t>
            </w:r>
            <w:r w:rsidRPr="008E0865">
              <w:rPr>
                <w:rFonts w:ascii="Arial" w:eastAsia="Times New Roman" w:hAnsi="Arial" w:cs="Arial"/>
                <w:b/>
                <w:bCs/>
                <w:color w:val="008000"/>
                <w:szCs w:val="24"/>
                <w:lang w:eastAsia="hu-HU"/>
              </w:rPr>
              <w:br/>
              <w:t>összesen</w:t>
            </w:r>
          </w:p>
        </w:tc>
      </w:tr>
      <w:tr w:rsidR="007071C2" w:rsidRPr="008E0865" w:rsidTr="00BE2890">
        <w:trPr>
          <w:trHeight w:val="714"/>
        </w:trPr>
        <w:tc>
          <w:tcPr>
            <w:tcW w:w="2136" w:type="dxa"/>
            <w:shd w:val="clear" w:color="auto" w:fill="auto"/>
            <w:noWrap/>
            <w:vAlign w:val="bottom"/>
            <w:hideMark/>
          </w:tcPr>
          <w:p w:rsidR="007071C2" w:rsidRDefault="007071C2" w:rsidP="00BE2890">
            <w:pPr>
              <w:spacing w:after="0" w:line="240" w:lineRule="auto"/>
              <w:jc w:val="center"/>
              <w:rPr>
                <w:rFonts w:ascii="Arial" w:eastAsia="Times New Roman" w:hAnsi="Arial" w:cs="Arial"/>
                <w:b/>
                <w:color w:val="000000"/>
                <w:szCs w:val="24"/>
                <w:lang w:eastAsia="hu-HU"/>
              </w:rPr>
            </w:pPr>
            <w:r w:rsidRPr="008E0865">
              <w:rPr>
                <w:rFonts w:ascii="Arial" w:eastAsia="Times New Roman" w:hAnsi="Arial" w:cs="Arial"/>
                <w:b/>
                <w:color w:val="000000"/>
                <w:szCs w:val="24"/>
                <w:lang w:eastAsia="hu-HU"/>
              </w:rPr>
              <w:t>Berhida</w:t>
            </w:r>
          </w:p>
          <w:p w:rsidR="007071C2" w:rsidRPr="008E0865" w:rsidRDefault="007071C2" w:rsidP="00BE2890">
            <w:pPr>
              <w:spacing w:after="0" w:line="240" w:lineRule="auto"/>
              <w:jc w:val="center"/>
              <w:rPr>
                <w:rFonts w:ascii="Arial" w:eastAsia="Times New Roman" w:hAnsi="Arial" w:cs="Arial"/>
                <w:b/>
                <w:color w:val="000000"/>
                <w:szCs w:val="24"/>
                <w:lang w:eastAsia="hu-HU"/>
              </w:rPr>
            </w:pPr>
          </w:p>
        </w:tc>
        <w:tc>
          <w:tcPr>
            <w:tcW w:w="1796" w:type="dxa"/>
            <w:shd w:val="clear" w:color="auto" w:fill="auto"/>
            <w:noWrap/>
            <w:vAlign w:val="bottom"/>
            <w:hideMark/>
          </w:tcPr>
          <w:p w:rsidR="007071C2" w:rsidRDefault="007071C2" w:rsidP="00BE2890">
            <w:pPr>
              <w:spacing w:after="0" w:line="240" w:lineRule="auto"/>
              <w:jc w:val="center"/>
              <w:rPr>
                <w:rFonts w:ascii="Arial" w:eastAsia="Times New Roman" w:hAnsi="Arial" w:cs="Arial"/>
                <w:color w:val="000000"/>
                <w:szCs w:val="24"/>
                <w:lang w:eastAsia="hu-HU"/>
              </w:rPr>
            </w:pPr>
            <w:r>
              <w:rPr>
                <w:rFonts w:ascii="Arial" w:eastAsia="Times New Roman" w:hAnsi="Arial" w:cs="Arial"/>
                <w:color w:val="000000"/>
                <w:szCs w:val="24"/>
                <w:lang w:eastAsia="hu-HU"/>
              </w:rPr>
              <w:t>2018. január 1.</w:t>
            </w:r>
          </w:p>
          <w:p w:rsidR="007071C2" w:rsidRPr="008E0865" w:rsidRDefault="007071C2" w:rsidP="00BE2890">
            <w:pPr>
              <w:spacing w:after="0" w:line="240" w:lineRule="auto"/>
              <w:jc w:val="center"/>
              <w:rPr>
                <w:rFonts w:ascii="Arial" w:eastAsia="Times New Roman" w:hAnsi="Arial" w:cs="Arial"/>
                <w:color w:val="000000"/>
                <w:szCs w:val="24"/>
                <w:lang w:eastAsia="hu-HU"/>
              </w:rPr>
            </w:pPr>
          </w:p>
        </w:tc>
        <w:tc>
          <w:tcPr>
            <w:tcW w:w="1748" w:type="dxa"/>
            <w:shd w:val="clear" w:color="auto" w:fill="auto"/>
            <w:noWrap/>
            <w:vAlign w:val="bottom"/>
            <w:hideMark/>
          </w:tcPr>
          <w:p w:rsidR="007071C2" w:rsidRDefault="007071C2" w:rsidP="00BE2890">
            <w:pPr>
              <w:spacing w:after="0" w:line="240" w:lineRule="auto"/>
              <w:jc w:val="center"/>
              <w:rPr>
                <w:rFonts w:ascii="Arial" w:eastAsia="Times New Roman" w:hAnsi="Arial" w:cs="Arial"/>
                <w:b/>
                <w:bCs/>
                <w:color w:val="3366FF"/>
                <w:szCs w:val="24"/>
                <w:lang w:eastAsia="hu-HU"/>
              </w:rPr>
            </w:pPr>
            <w:r w:rsidRPr="008E0865">
              <w:rPr>
                <w:rFonts w:ascii="Arial" w:eastAsia="Times New Roman" w:hAnsi="Arial" w:cs="Arial"/>
                <w:b/>
                <w:bCs/>
                <w:color w:val="3366FF"/>
                <w:szCs w:val="24"/>
                <w:lang w:eastAsia="hu-HU"/>
              </w:rPr>
              <w:t>2</w:t>
            </w:r>
            <w:r>
              <w:rPr>
                <w:rFonts w:ascii="Arial" w:eastAsia="Times New Roman" w:hAnsi="Arial" w:cs="Arial"/>
                <w:b/>
                <w:bCs/>
                <w:color w:val="3366FF"/>
                <w:szCs w:val="24"/>
                <w:lang w:eastAsia="hu-HU"/>
              </w:rPr>
              <w:t>.</w:t>
            </w:r>
            <w:r w:rsidRPr="008E0865">
              <w:rPr>
                <w:rFonts w:ascii="Arial" w:eastAsia="Times New Roman" w:hAnsi="Arial" w:cs="Arial"/>
                <w:b/>
                <w:bCs/>
                <w:color w:val="3366FF"/>
                <w:szCs w:val="24"/>
                <w:lang w:eastAsia="hu-HU"/>
              </w:rPr>
              <w:t>961</w:t>
            </w:r>
          </w:p>
          <w:p w:rsidR="007071C2" w:rsidRPr="008E0865" w:rsidRDefault="007071C2" w:rsidP="00BE2890">
            <w:pPr>
              <w:spacing w:after="0" w:line="240" w:lineRule="auto"/>
              <w:jc w:val="center"/>
              <w:rPr>
                <w:rFonts w:ascii="Arial" w:eastAsia="Times New Roman" w:hAnsi="Arial" w:cs="Arial"/>
                <w:b/>
                <w:bCs/>
                <w:color w:val="3366FF"/>
                <w:szCs w:val="24"/>
                <w:lang w:eastAsia="hu-HU"/>
              </w:rPr>
            </w:pPr>
          </w:p>
        </w:tc>
        <w:tc>
          <w:tcPr>
            <w:tcW w:w="1740" w:type="dxa"/>
            <w:shd w:val="clear" w:color="auto" w:fill="auto"/>
            <w:noWrap/>
            <w:vAlign w:val="bottom"/>
            <w:hideMark/>
          </w:tcPr>
          <w:p w:rsidR="007071C2" w:rsidRDefault="007071C2" w:rsidP="00BE2890">
            <w:pPr>
              <w:spacing w:after="0" w:line="240" w:lineRule="auto"/>
              <w:jc w:val="center"/>
              <w:rPr>
                <w:rFonts w:ascii="Arial" w:eastAsia="Times New Roman" w:hAnsi="Arial" w:cs="Arial"/>
                <w:b/>
                <w:bCs/>
                <w:color w:val="FF0000"/>
                <w:szCs w:val="24"/>
                <w:lang w:eastAsia="hu-HU"/>
              </w:rPr>
            </w:pPr>
            <w:r w:rsidRPr="008E0865">
              <w:rPr>
                <w:rFonts w:ascii="Arial" w:eastAsia="Times New Roman" w:hAnsi="Arial" w:cs="Arial"/>
                <w:b/>
                <w:bCs/>
                <w:color w:val="FF0000"/>
                <w:szCs w:val="24"/>
                <w:lang w:eastAsia="hu-HU"/>
              </w:rPr>
              <w:t>3</w:t>
            </w:r>
            <w:r>
              <w:rPr>
                <w:rFonts w:ascii="Arial" w:eastAsia="Times New Roman" w:hAnsi="Arial" w:cs="Arial"/>
                <w:b/>
                <w:bCs/>
                <w:color w:val="FF0000"/>
                <w:szCs w:val="24"/>
                <w:lang w:eastAsia="hu-HU"/>
              </w:rPr>
              <w:t>.</w:t>
            </w:r>
            <w:r w:rsidRPr="008E0865">
              <w:rPr>
                <w:rFonts w:ascii="Arial" w:eastAsia="Times New Roman" w:hAnsi="Arial" w:cs="Arial"/>
                <w:b/>
                <w:bCs/>
                <w:color w:val="FF0000"/>
                <w:szCs w:val="24"/>
                <w:lang w:eastAsia="hu-HU"/>
              </w:rPr>
              <w:t>011</w:t>
            </w:r>
          </w:p>
          <w:p w:rsidR="007071C2" w:rsidRPr="008E0865" w:rsidRDefault="007071C2" w:rsidP="00BE2890">
            <w:pPr>
              <w:spacing w:after="0" w:line="240" w:lineRule="auto"/>
              <w:jc w:val="center"/>
              <w:rPr>
                <w:rFonts w:ascii="Arial" w:eastAsia="Times New Roman" w:hAnsi="Arial" w:cs="Arial"/>
                <w:b/>
                <w:bCs/>
                <w:color w:val="FF0000"/>
                <w:szCs w:val="24"/>
                <w:lang w:eastAsia="hu-HU"/>
              </w:rPr>
            </w:pPr>
          </w:p>
        </w:tc>
        <w:tc>
          <w:tcPr>
            <w:tcW w:w="1540" w:type="dxa"/>
            <w:shd w:val="clear" w:color="auto" w:fill="auto"/>
            <w:noWrap/>
            <w:vAlign w:val="bottom"/>
            <w:hideMark/>
          </w:tcPr>
          <w:p w:rsidR="007071C2" w:rsidRDefault="007071C2" w:rsidP="00BE2890">
            <w:pPr>
              <w:spacing w:after="0" w:line="240" w:lineRule="auto"/>
              <w:jc w:val="center"/>
              <w:rPr>
                <w:rFonts w:ascii="Arial" w:eastAsia="Times New Roman" w:hAnsi="Arial" w:cs="Arial"/>
                <w:b/>
                <w:bCs/>
                <w:color w:val="008000"/>
                <w:szCs w:val="24"/>
                <w:lang w:eastAsia="hu-HU"/>
              </w:rPr>
            </w:pPr>
            <w:r w:rsidRPr="008E0865">
              <w:rPr>
                <w:rFonts w:ascii="Arial" w:eastAsia="Times New Roman" w:hAnsi="Arial" w:cs="Arial"/>
                <w:b/>
                <w:bCs/>
                <w:color w:val="008000"/>
                <w:szCs w:val="24"/>
                <w:lang w:eastAsia="hu-HU"/>
              </w:rPr>
              <w:t>5</w:t>
            </w:r>
            <w:r>
              <w:rPr>
                <w:rFonts w:ascii="Arial" w:eastAsia="Times New Roman" w:hAnsi="Arial" w:cs="Arial"/>
                <w:b/>
                <w:bCs/>
                <w:color w:val="008000"/>
                <w:szCs w:val="24"/>
                <w:lang w:eastAsia="hu-HU"/>
              </w:rPr>
              <w:t>.</w:t>
            </w:r>
            <w:r w:rsidRPr="008E0865">
              <w:rPr>
                <w:rFonts w:ascii="Arial" w:eastAsia="Times New Roman" w:hAnsi="Arial" w:cs="Arial"/>
                <w:b/>
                <w:bCs/>
                <w:color w:val="008000"/>
                <w:szCs w:val="24"/>
                <w:lang w:eastAsia="hu-HU"/>
              </w:rPr>
              <w:t>972</w:t>
            </w:r>
          </w:p>
          <w:p w:rsidR="007071C2" w:rsidRPr="008E0865" w:rsidRDefault="007071C2" w:rsidP="00BE2890">
            <w:pPr>
              <w:spacing w:after="0" w:line="240" w:lineRule="auto"/>
              <w:jc w:val="center"/>
              <w:rPr>
                <w:rFonts w:ascii="Arial" w:eastAsia="Times New Roman" w:hAnsi="Arial" w:cs="Arial"/>
                <w:b/>
                <w:bCs/>
                <w:color w:val="008000"/>
                <w:szCs w:val="24"/>
                <w:lang w:eastAsia="hu-HU"/>
              </w:rPr>
            </w:pPr>
          </w:p>
        </w:tc>
      </w:tr>
    </w:tbl>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rPr>
          <w:rFonts w:ascii="Arial" w:hAnsi="Arial" w:cs="Arial"/>
          <w:szCs w:val="24"/>
        </w:rPr>
      </w:pPr>
      <w:r w:rsidRPr="00231736">
        <w:rPr>
          <w:rFonts w:ascii="Arial" w:hAnsi="Arial" w:cs="Arial"/>
          <w:szCs w:val="24"/>
        </w:rPr>
        <w:t xml:space="preserve">A népesség alakulása függ a településre </w:t>
      </w:r>
      <w:r w:rsidRPr="00231736">
        <w:rPr>
          <w:rFonts w:ascii="Arial" w:eastAsia="HiddenHorzOCR" w:hAnsi="Arial" w:cs="Arial"/>
          <w:szCs w:val="24"/>
        </w:rPr>
        <w:t xml:space="preserve">történő </w:t>
      </w:r>
      <w:r w:rsidRPr="00231736">
        <w:rPr>
          <w:rFonts w:ascii="Arial" w:hAnsi="Arial" w:cs="Arial"/>
          <w:szCs w:val="24"/>
        </w:rPr>
        <w:t xml:space="preserve">ki- és </w:t>
      </w:r>
      <w:r w:rsidRPr="00231736">
        <w:rPr>
          <w:rFonts w:ascii="Arial" w:eastAsia="HiddenHorzOCR" w:hAnsi="Arial" w:cs="Arial"/>
          <w:szCs w:val="24"/>
        </w:rPr>
        <w:t xml:space="preserve">beköltözéstől. </w:t>
      </w:r>
      <w:r w:rsidRPr="00231736">
        <w:rPr>
          <w:rFonts w:ascii="Arial" w:hAnsi="Arial" w:cs="Arial"/>
          <w:szCs w:val="24"/>
        </w:rPr>
        <w:t xml:space="preserve">a halálozási és születési adatoktól. A lakosságszám alakulását mutatják be az alábbi </w:t>
      </w:r>
      <w:r>
        <w:rPr>
          <w:rFonts w:ascii="Arial" w:hAnsi="Arial" w:cs="Arial"/>
          <w:szCs w:val="24"/>
        </w:rPr>
        <w:t>diagram</w:t>
      </w:r>
      <w:r w:rsidRPr="00231736">
        <w:rPr>
          <w:rFonts w:ascii="Arial" w:hAnsi="Arial" w:cs="Arial"/>
          <w:szCs w:val="24"/>
        </w:rPr>
        <w:t>:</w:t>
      </w:r>
    </w:p>
    <w:p w:rsidR="007071C2"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rPr>
          <w:rFonts w:ascii="Arial" w:hAnsi="Arial" w:cs="Arial"/>
          <w:szCs w:val="24"/>
        </w:rPr>
      </w:pPr>
      <w:r>
        <w:rPr>
          <w:noProof/>
        </w:rPr>
        <w:lastRenderedPageBreak/>
        <w:drawing>
          <wp:anchor distT="0" distB="0" distL="114300" distR="114300" simplePos="0" relativeHeight="251660288" behindDoc="1" locked="0" layoutInCell="1" allowOverlap="1" wp14:anchorId="5B69CB9B" wp14:editId="04B4F039">
            <wp:simplePos x="0" y="0"/>
            <wp:positionH relativeFrom="column">
              <wp:posOffset>-7620</wp:posOffset>
            </wp:positionH>
            <wp:positionV relativeFrom="paragraph">
              <wp:posOffset>0</wp:posOffset>
            </wp:positionV>
            <wp:extent cx="5760720" cy="3627755"/>
            <wp:effectExtent l="0" t="0" r="0" b="0"/>
            <wp:wrapTopAndBottom/>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60720" cy="3627755"/>
                    </a:xfrm>
                    <a:prstGeom prst="rect">
                      <a:avLst/>
                    </a:prstGeom>
                  </pic:spPr>
                </pic:pic>
              </a:graphicData>
            </a:graphic>
          </wp:anchor>
        </w:drawing>
      </w:r>
    </w:p>
    <w:p w:rsidR="00C11142" w:rsidRDefault="00C11142" w:rsidP="00EB5ED1">
      <w:pPr>
        <w:autoSpaceDE w:val="0"/>
        <w:autoSpaceDN w:val="0"/>
        <w:adjustRightInd w:val="0"/>
        <w:spacing w:after="0" w:line="276" w:lineRule="auto"/>
        <w:jc w:val="both"/>
        <w:rPr>
          <w:rFonts w:ascii="Arial" w:eastAsia="HiddenHorzOCR" w:hAnsi="Arial" w:cs="Arial"/>
          <w:szCs w:val="24"/>
        </w:rPr>
      </w:pPr>
      <w:r w:rsidRPr="00231736">
        <w:rPr>
          <w:rFonts w:ascii="Arial" w:hAnsi="Arial" w:cs="Arial"/>
          <w:szCs w:val="24"/>
        </w:rPr>
        <w:t xml:space="preserve">A lakosság körében </w:t>
      </w:r>
      <w:r w:rsidR="00633551">
        <w:rPr>
          <w:rFonts w:ascii="Arial" w:hAnsi="Arial" w:cs="Arial"/>
          <w:szCs w:val="24"/>
        </w:rPr>
        <w:t xml:space="preserve">– </w:t>
      </w:r>
      <w:r w:rsidRPr="00231736">
        <w:rPr>
          <w:rFonts w:ascii="Arial" w:hAnsi="Arial" w:cs="Arial"/>
          <w:szCs w:val="24"/>
        </w:rPr>
        <w:t>az országos adatokhoz hasonlóan</w:t>
      </w:r>
      <w:r w:rsidR="00633551">
        <w:rPr>
          <w:rFonts w:ascii="Arial" w:hAnsi="Arial" w:cs="Arial"/>
          <w:szCs w:val="24"/>
        </w:rPr>
        <w:t xml:space="preserve"> –</w:t>
      </w:r>
      <w:r w:rsidRPr="00231736">
        <w:rPr>
          <w:rFonts w:ascii="Arial" w:hAnsi="Arial" w:cs="Arial"/>
          <w:szCs w:val="24"/>
        </w:rPr>
        <w:t xml:space="preserve"> leggyakoribbak a szív- és érrendszeri megbetegedések, a cukorbetegség, rákbetegség, valamint a </w:t>
      </w:r>
      <w:r w:rsidRPr="00231736">
        <w:rPr>
          <w:rFonts w:ascii="Arial" w:eastAsia="HiddenHorzOCR" w:hAnsi="Arial" w:cs="Arial"/>
          <w:szCs w:val="24"/>
        </w:rPr>
        <w:t>tüdőbetegség.</w:t>
      </w:r>
    </w:p>
    <w:p w:rsidR="00C11142" w:rsidRPr="00231736" w:rsidRDefault="00C11142" w:rsidP="00EB5ED1">
      <w:pPr>
        <w:autoSpaceDE w:val="0"/>
        <w:autoSpaceDN w:val="0"/>
        <w:adjustRightInd w:val="0"/>
        <w:spacing w:after="0" w:line="276" w:lineRule="auto"/>
        <w:rPr>
          <w:rFonts w:ascii="Arial" w:hAnsi="Arial" w:cs="Arial"/>
          <w:szCs w:val="24"/>
        </w:rPr>
      </w:pPr>
    </w:p>
    <w:p w:rsidR="007071C2" w:rsidRPr="00A64C6E" w:rsidRDefault="007071C2" w:rsidP="00EB5ED1">
      <w:pPr>
        <w:pStyle w:val="Listaszerbekezds"/>
        <w:numPr>
          <w:ilvl w:val="0"/>
          <w:numId w:val="6"/>
        </w:numPr>
        <w:autoSpaceDE w:val="0"/>
        <w:autoSpaceDN w:val="0"/>
        <w:adjustRightInd w:val="0"/>
        <w:spacing w:after="0" w:line="276" w:lineRule="auto"/>
        <w:rPr>
          <w:rFonts w:ascii="Arial" w:eastAsia="HiddenHorzOCR" w:hAnsi="Arial" w:cs="Arial"/>
          <w:b/>
          <w:szCs w:val="24"/>
        </w:rPr>
      </w:pPr>
      <w:r w:rsidRPr="00A64C6E">
        <w:rPr>
          <w:rFonts w:ascii="Arial" w:eastAsia="HiddenHorzOCR" w:hAnsi="Arial" w:cs="Arial"/>
          <w:b/>
          <w:szCs w:val="24"/>
        </w:rPr>
        <w:t>Levegőminőség</w:t>
      </w:r>
    </w:p>
    <w:p w:rsidR="007071C2" w:rsidRPr="00231736" w:rsidRDefault="007071C2" w:rsidP="00EB5ED1">
      <w:pPr>
        <w:autoSpaceDE w:val="0"/>
        <w:autoSpaceDN w:val="0"/>
        <w:adjustRightInd w:val="0"/>
        <w:spacing w:after="0" w:line="276" w:lineRule="auto"/>
        <w:rPr>
          <w:rFonts w:ascii="Arial" w:eastAsia="HiddenHorzOCR" w:hAnsi="Arial" w:cs="Arial"/>
          <w:szCs w:val="24"/>
        </w:rPr>
      </w:pPr>
    </w:p>
    <w:p w:rsidR="007071C2" w:rsidRPr="00231736" w:rsidRDefault="007071C2" w:rsidP="00EB5ED1">
      <w:pPr>
        <w:spacing w:after="0" w:line="276" w:lineRule="auto"/>
        <w:jc w:val="both"/>
        <w:rPr>
          <w:rFonts w:ascii="Arial" w:hAnsi="Arial" w:cs="Arial"/>
          <w:szCs w:val="24"/>
        </w:rPr>
      </w:pPr>
      <w:r w:rsidRPr="00231736">
        <w:rPr>
          <w:rFonts w:ascii="Arial" w:hAnsi="Arial" w:cs="Arial"/>
          <w:szCs w:val="24"/>
        </w:rPr>
        <w:t>A légszennyezettségi agglomerációk és zónák kijelöléséről szóló 4/2002. (X. 7.) KvVM. rendeletben Berhidát a (Veszprém – Székesfehérvár tengelybe tartozó településként) a 4. zónába sorolták. A kapcsolódó rendeletek értelmében a 4. zónához tartozó településeken az alábbi emissziós koncentráció értékek jellemzők:</w:t>
      </w:r>
    </w:p>
    <w:p w:rsidR="007071C2" w:rsidRPr="00231736" w:rsidRDefault="007071C2" w:rsidP="00EB5ED1">
      <w:pPr>
        <w:spacing w:after="0" w:line="276" w:lineRule="auto"/>
        <w:jc w:val="both"/>
        <w:rPr>
          <w:rFonts w:ascii="Arial" w:hAnsi="Arial" w:cs="Arial"/>
          <w:szCs w:val="24"/>
        </w:rPr>
      </w:pPr>
    </w:p>
    <w:p w:rsidR="007071C2" w:rsidRPr="00231736" w:rsidRDefault="007071C2" w:rsidP="00EB5ED1">
      <w:pPr>
        <w:numPr>
          <w:ilvl w:val="0"/>
          <w:numId w:val="1"/>
        </w:numPr>
        <w:tabs>
          <w:tab w:val="left" w:pos="2835"/>
          <w:tab w:val="right" w:pos="7589"/>
        </w:tabs>
        <w:autoSpaceDE w:val="0"/>
        <w:autoSpaceDN w:val="0"/>
        <w:spacing w:after="0" w:line="276" w:lineRule="auto"/>
        <w:ind w:left="714" w:hanging="357"/>
        <w:jc w:val="both"/>
        <w:rPr>
          <w:rFonts w:ascii="Arial" w:hAnsi="Arial" w:cs="Arial"/>
          <w:szCs w:val="24"/>
        </w:rPr>
      </w:pPr>
      <w:r w:rsidRPr="00231736">
        <w:rPr>
          <w:rFonts w:ascii="Arial" w:hAnsi="Arial" w:cs="Arial"/>
          <w:szCs w:val="24"/>
        </w:rPr>
        <w:t>Szilárd részecske</w:t>
      </w:r>
      <w:r w:rsidRPr="00231736">
        <w:rPr>
          <w:rFonts w:ascii="Arial" w:hAnsi="Arial" w:cs="Arial"/>
          <w:szCs w:val="24"/>
        </w:rPr>
        <w:tab/>
      </w:r>
      <w:r w:rsidR="009665EC">
        <w:rPr>
          <w:rFonts w:ascii="Arial" w:hAnsi="Arial" w:cs="Arial"/>
          <w:szCs w:val="24"/>
        </w:rPr>
        <w:t>1</w:t>
      </w:r>
      <w:r w:rsidRPr="00231736">
        <w:rPr>
          <w:rFonts w:ascii="Arial" w:hAnsi="Arial" w:cs="Arial"/>
          <w:szCs w:val="24"/>
        </w:rPr>
        <w:t>-10</w:t>
      </w:r>
      <w:r w:rsidR="009665EC">
        <w:rPr>
          <w:rFonts w:ascii="Arial" w:hAnsi="Arial" w:cs="Arial"/>
          <w:szCs w:val="24"/>
        </w:rPr>
        <w:t>7</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 xml:space="preserve"> (határérték: </w:t>
      </w:r>
      <w:r w:rsidR="009665EC">
        <w:rPr>
          <w:rFonts w:ascii="Arial" w:hAnsi="Arial" w:cs="Arial"/>
          <w:szCs w:val="24"/>
        </w:rPr>
        <w:t>50</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w:t>
      </w:r>
    </w:p>
    <w:p w:rsidR="007071C2" w:rsidRPr="00231736" w:rsidRDefault="007071C2" w:rsidP="00EB5ED1">
      <w:pPr>
        <w:numPr>
          <w:ilvl w:val="0"/>
          <w:numId w:val="1"/>
        </w:numPr>
        <w:tabs>
          <w:tab w:val="left" w:pos="2835"/>
          <w:tab w:val="right" w:pos="4277"/>
        </w:tabs>
        <w:autoSpaceDE w:val="0"/>
        <w:autoSpaceDN w:val="0"/>
        <w:spacing w:after="0" w:line="276" w:lineRule="auto"/>
        <w:ind w:left="714" w:hanging="357"/>
        <w:jc w:val="both"/>
        <w:rPr>
          <w:rFonts w:ascii="Arial" w:hAnsi="Arial" w:cs="Arial"/>
          <w:szCs w:val="24"/>
        </w:rPr>
      </w:pPr>
      <w:r w:rsidRPr="00231736">
        <w:rPr>
          <w:rFonts w:ascii="Arial" w:hAnsi="Arial" w:cs="Arial"/>
          <w:szCs w:val="24"/>
        </w:rPr>
        <w:t>SO</w:t>
      </w:r>
      <w:r w:rsidRPr="00231736">
        <w:rPr>
          <w:rFonts w:ascii="Arial" w:hAnsi="Arial" w:cs="Arial"/>
          <w:szCs w:val="24"/>
          <w:vertAlign w:val="subscript"/>
        </w:rPr>
        <w:t>2</w:t>
      </w:r>
      <w:r w:rsidRPr="00231736">
        <w:rPr>
          <w:rFonts w:ascii="Arial" w:hAnsi="Arial" w:cs="Arial"/>
          <w:szCs w:val="24"/>
          <w:vertAlign w:val="subscript"/>
        </w:rPr>
        <w:tab/>
      </w:r>
      <w:r w:rsidR="009665EC">
        <w:rPr>
          <w:rFonts w:ascii="Arial" w:hAnsi="Arial" w:cs="Arial"/>
          <w:szCs w:val="24"/>
        </w:rPr>
        <w:t>5</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 xml:space="preserve"> alatt</w:t>
      </w:r>
      <w:r w:rsidR="00BE2890">
        <w:rPr>
          <w:rFonts w:ascii="Arial" w:hAnsi="Arial" w:cs="Arial"/>
          <w:szCs w:val="24"/>
        </w:rPr>
        <w:t xml:space="preserve"> (határérték: 125 </w:t>
      </w:r>
      <w:r w:rsidR="00BE2890" w:rsidRPr="00231736">
        <w:rPr>
          <w:rFonts w:ascii="Arial" w:hAnsi="Arial" w:cs="Arial"/>
          <w:szCs w:val="24"/>
        </w:rPr>
        <w:t>µg/m</w:t>
      </w:r>
      <w:r w:rsidR="00BE2890" w:rsidRPr="00231736">
        <w:rPr>
          <w:rFonts w:ascii="Arial" w:hAnsi="Arial" w:cs="Arial"/>
          <w:szCs w:val="24"/>
          <w:vertAlign w:val="superscript"/>
        </w:rPr>
        <w:t>3</w:t>
      </w:r>
      <w:r w:rsidR="00BE2890" w:rsidRPr="00231736">
        <w:rPr>
          <w:rFonts w:ascii="Arial" w:hAnsi="Arial" w:cs="Arial"/>
          <w:szCs w:val="24"/>
        </w:rPr>
        <w:t>)</w:t>
      </w:r>
    </w:p>
    <w:p w:rsidR="007071C2" w:rsidRPr="00231736" w:rsidRDefault="007071C2" w:rsidP="00EB5ED1">
      <w:pPr>
        <w:numPr>
          <w:ilvl w:val="0"/>
          <w:numId w:val="1"/>
        </w:numPr>
        <w:tabs>
          <w:tab w:val="left" w:pos="2835"/>
          <w:tab w:val="right" w:pos="7655"/>
        </w:tabs>
        <w:autoSpaceDE w:val="0"/>
        <w:autoSpaceDN w:val="0"/>
        <w:spacing w:after="0" w:line="276" w:lineRule="auto"/>
        <w:ind w:left="714" w:hanging="357"/>
        <w:jc w:val="both"/>
        <w:rPr>
          <w:rFonts w:ascii="Arial" w:hAnsi="Arial" w:cs="Arial"/>
          <w:szCs w:val="24"/>
        </w:rPr>
      </w:pPr>
      <w:r w:rsidRPr="00231736">
        <w:rPr>
          <w:rFonts w:ascii="Arial" w:hAnsi="Arial" w:cs="Arial"/>
          <w:szCs w:val="24"/>
        </w:rPr>
        <w:t>NO</w:t>
      </w:r>
      <w:r w:rsidRPr="00231736">
        <w:rPr>
          <w:rFonts w:ascii="Arial" w:hAnsi="Arial" w:cs="Arial"/>
          <w:szCs w:val="24"/>
          <w:vertAlign w:val="subscript"/>
        </w:rPr>
        <w:t>2</w:t>
      </w:r>
      <w:r w:rsidRPr="00231736">
        <w:rPr>
          <w:rFonts w:ascii="Arial" w:hAnsi="Arial" w:cs="Arial"/>
          <w:szCs w:val="24"/>
        </w:rPr>
        <w:tab/>
      </w:r>
      <w:r w:rsidR="00BE2890">
        <w:rPr>
          <w:rFonts w:ascii="Arial" w:hAnsi="Arial" w:cs="Arial"/>
          <w:szCs w:val="24"/>
        </w:rPr>
        <w:t>3</w:t>
      </w:r>
      <w:r w:rsidRPr="00231736">
        <w:rPr>
          <w:rFonts w:ascii="Arial" w:hAnsi="Arial" w:cs="Arial"/>
          <w:szCs w:val="24"/>
        </w:rPr>
        <w:t>,6-</w:t>
      </w:r>
      <w:r w:rsidR="00BE2890">
        <w:rPr>
          <w:rFonts w:ascii="Arial" w:hAnsi="Arial" w:cs="Arial"/>
          <w:szCs w:val="24"/>
        </w:rPr>
        <w:t>62,9</w:t>
      </w:r>
      <w:r w:rsidRPr="00231736">
        <w:rPr>
          <w:rFonts w:ascii="Arial" w:hAnsi="Arial" w:cs="Arial"/>
          <w:szCs w:val="24"/>
        </w:rPr>
        <w:t xml:space="preserve"> µg/m</w:t>
      </w:r>
      <w:r w:rsidRPr="00231736">
        <w:rPr>
          <w:rFonts w:ascii="Arial" w:hAnsi="Arial" w:cs="Arial"/>
          <w:szCs w:val="24"/>
          <w:vertAlign w:val="superscript"/>
        </w:rPr>
        <w:t xml:space="preserve">3 </w:t>
      </w:r>
      <w:r w:rsidR="00BE2890">
        <w:rPr>
          <w:rFonts w:ascii="Arial" w:hAnsi="Arial" w:cs="Arial"/>
          <w:szCs w:val="24"/>
        </w:rPr>
        <w:t>(</w:t>
      </w:r>
      <w:r w:rsidRPr="00231736">
        <w:rPr>
          <w:rFonts w:ascii="Arial" w:hAnsi="Arial" w:cs="Arial"/>
          <w:szCs w:val="24"/>
        </w:rPr>
        <w:t xml:space="preserve">határérték: </w:t>
      </w:r>
      <w:r w:rsidR="009665EC">
        <w:rPr>
          <w:rFonts w:ascii="Arial" w:hAnsi="Arial" w:cs="Arial"/>
          <w:szCs w:val="24"/>
        </w:rPr>
        <w:t>85</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w:t>
      </w:r>
    </w:p>
    <w:p w:rsidR="00BE2890" w:rsidRPr="00BE2890" w:rsidRDefault="007071C2" w:rsidP="00EB5ED1">
      <w:pPr>
        <w:numPr>
          <w:ilvl w:val="0"/>
          <w:numId w:val="1"/>
        </w:numPr>
        <w:tabs>
          <w:tab w:val="left" w:pos="2835"/>
          <w:tab w:val="right" w:pos="4395"/>
        </w:tabs>
        <w:autoSpaceDE w:val="0"/>
        <w:autoSpaceDN w:val="0"/>
        <w:spacing w:after="0" w:line="276" w:lineRule="auto"/>
        <w:ind w:left="714" w:hanging="357"/>
        <w:jc w:val="both"/>
        <w:rPr>
          <w:rFonts w:ascii="Arial" w:hAnsi="Arial" w:cs="Arial"/>
          <w:szCs w:val="24"/>
        </w:rPr>
      </w:pPr>
      <w:r w:rsidRPr="00231736">
        <w:rPr>
          <w:rFonts w:ascii="Arial" w:hAnsi="Arial" w:cs="Arial"/>
          <w:szCs w:val="24"/>
        </w:rPr>
        <w:t>CO</w:t>
      </w:r>
      <w:r w:rsidRPr="00231736">
        <w:rPr>
          <w:rFonts w:ascii="Arial" w:hAnsi="Arial" w:cs="Arial"/>
          <w:szCs w:val="24"/>
        </w:rPr>
        <w:tab/>
      </w:r>
      <w:r w:rsidR="00BE2890">
        <w:rPr>
          <w:rFonts w:ascii="Arial" w:hAnsi="Arial" w:cs="Arial"/>
          <w:szCs w:val="24"/>
        </w:rPr>
        <w:t>12</w:t>
      </w:r>
      <w:r w:rsidRPr="00231736">
        <w:rPr>
          <w:rFonts w:ascii="Arial" w:hAnsi="Arial" w:cs="Arial"/>
          <w:szCs w:val="24"/>
        </w:rPr>
        <w:t>-</w:t>
      </w:r>
      <w:r w:rsidR="00BE2890">
        <w:rPr>
          <w:rFonts w:ascii="Arial" w:hAnsi="Arial" w:cs="Arial"/>
          <w:szCs w:val="24"/>
        </w:rPr>
        <w:t>3088</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 xml:space="preserve"> között</w:t>
      </w:r>
    </w:p>
    <w:p w:rsidR="007071C2" w:rsidRDefault="007071C2" w:rsidP="00EB5ED1">
      <w:pPr>
        <w:spacing w:after="0" w:line="276" w:lineRule="auto"/>
        <w:jc w:val="both"/>
        <w:rPr>
          <w:rFonts w:ascii="Arial" w:hAnsi="Arial" w:cs="Arial"/>
          <w:szCs w:val="24"/>
        </w:rPr>
      </w:pPr>
    </w:p>
    <w:p w:rsidR="007071C2" w:rsidRDefault="007071C2" w:rsidP="00EB5ED1">
      <w:pPr>
        <w:spacing w:after="0" w:line="276" w:lineRule="auto"/>
        <w:jc w:val="both"/>
        <w:rPr>
          <w:rFonts w:ascii="Arial" w:hAnsi="Arial" w:cs="Arial"/>
          <w:szCs w:val="24"/>
        </w:rPr>
      </w:pPr>
      <w:r w:rsidRPr="0058137A">
        <w:rPr>
          <w:rFonts w:ascii="Arial" w:hAnsi="Arial" w:cs="Arial"/>
          <w:szCs w:val="24"/>
        </w:rPr>
        <w:t>A különböző szennyező hatások (közlekedés, környező iparterületek kibocsátása) ellenére a város levegőjének minősége jó, az egyes komponensek koncentrációja határérték alatti. Problémát a környező iparterületekről időnként érkező bűzhatás okoz. A levegőminőség szempontjából a NOx-ok, illetve a szilárd részecskék (por) levegőbe jutó mennyiségét megfelelő intézkedésekkel csökkenteni kell.</w:t>
      </w:r>
    </w:p>
    <w:p w:rsidR="007071C2" w:rsidRDefault="007071C2" w:rsidP="00EB5ED1">
      <w:pPr>
        <w:spacing w:after="0" w:line="276" w:lineRule="auto"/>
        <w:jc w:val="both"/>
        <w:rPr>
          <w:rFonts w:ascii="Arial" w:hAnsi="Arial" w:cs="Arial"/>
          <w:szCs w:val="24"/>
        </w:rPr>
      </w:pPr>
    </w:p>
    <w:p w:rsidR="007071C2" w:rsidRDefault="007071C2" w:rsidP="00EB5ED1">
      <w:pPr>
        <w:spacing w:after="0" w:line="276" w:lineRule="auto"/>
        <w:jc w:val="both"/>
        <w:rPr>
          <w:rFonts w:ascii="Arial" w:hAnsi="Arial" w:cs="Arial"/>
          <w:szCs w:val="24"/>
        </w:rPr>
      </w:pPr>
      <w:r w:rsidRPr="0058137A">
        <w:rPr>
          <w:rFonts w:ascii="Arial" w:hAnsi="Arial" w:cs="Arial"/>
          <w:szCs w:val="24"/>
        </w:rPr>
        <w:t>A NOx-ok határértéket közelítő koncentrációjának csökkentése az átmenő közúti forgalom mérséklésével és az ipari üzemek szennyezőanyag-kibocsátásának csökkentésével érhető el.</w:t>
      </w:r>
    </w:p>
    <w:p w:rsidR="007071C2" w:rsidRDefault="00390EC9" w:rsidP="000B3C69">
      <w:pPr>
        <w:spacing w:after="0" w:line="240" w:lineRule="auto"/>
        <w:jc w:val="both"/>
        <w:rPr>
          <w:rFonts w:ascii="Arial" w:hAnsi="Arial" w:cs="Arial"/>
          <w:szCs w:val="24"/>
        </w:rPr>
      </w:pPr>
      <w:r>
        <w:rPr>
          <w:noProof/>
        </w:rPr>
        <w:lastRenderedPageBreak/>
        <w:drawing>
          <wp:anchor distT="0" distB="0" distL="114300" distR="114300" simplePos="0" relativeHeight="251667456" behindDoc="0" locked="0" layoutInCell="1" allowOverlap="1" wp14:anchorId="6D46018E">
            <wp:simplePos x="0" y="0"/>
            <wp:positionH relativeFrom="column">
              <wp:posOffset>307213</wp:posOffset>
            </wp:positionH>
            <wp:positionV relativeFrom="paragraph">
              <wp:posOffset>3505</wp:posOffset>
            </wp:positionV>
            <wp:extent cx="5143500" cy="3286125"/>
            <wp:effectExtent l="0" t="0" r="0" b="9525"/>
            <wp:wrapTopAndBottom/>
            <wp:docPr id="5" name="Diagram 5">
              <a:extLst xmlns:a="http://schemas.openxmlformats.org/drawingml/2006/main">
                <a:ext uri="{FF2B5EF4-FFF2-40B4-BE49-F238E27FC236}">
                  <a16:creationId xmlns:a16="http://schemas.microsoft.com/office/drawing/2014/main" id="{630A444F-5D57-4648-8CE4-0F292B990B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rsidR="000B3C69" w:rsidRPr="00231736" w:rsidRDefault="007B1161" w:rsidP="00EB5ED1">
      <w:pPr>
        <w:spacing w:after="0" w:line="276" w:lineRule="auto"/>
        <w:jc w:val="both"/>
        <w:rPr>
          <w:rFonts w:ascii="Arial" w:hAnsi="Arial" w:cs="Arial"/>
          <w:szCs w:val="24"/>
        </w:rPr>
      </w:pPr>
      <w:r>
        <w:rPr>
          <w:noProof/>
        </w:rPr>
        <w:drawing>
          <wp:anchor distT="0" distB="0" distL="114300" distR="114300" simplePos="0" relativeHeight="251661312" behindDoc="1" locked="0" layoutInCell="1" allowOverlap="1" wp14:anchorId="073DA4A2">
            <wp:simplePos x="0" y="0"/>
            <wp:positionH relativeFrom="column">
              <wp:posOffset>306705</wp:posOffset>
            </wp:positionH>
            <wp:positionV relativeFrom="paragraph">
              <wp:posOffset>885190</wp:posOffset>
            </wp:positionV>
            <wp:extent cx="5143500" cy="3495675"/>
            <wp:effectExtent l="0" t="0" r="0" b="9525"/>
            <wp:wrapTopAndBottom/>
            <wp:docPr id="6" name="Diagram 6">
              <a:extLst xmlns:a="http://schemas.openxmlformats.org/drawingml/2006/main">
                <a:ext uri="{FF2B5EF4-FFF2-40B4-BE49-F238E27FC236}">
                  <a16:creationId xmlns:a16="http://schemas.microsoft.com/office/drawing/2014/main" id="{24B0896C-BD6B-4FD6-BE7D-31222C5C27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7071C2" w:rsidRPr="00231736">
        <w:rPr>
          <w:rFonts w:ascii="Arial" w:hAnsi="Arial" w:cs="Arial"/>
          <w:szCs w:val="24"/>
        </w:rPr>
        <w:t>A településen mintavevő hely található Peremarton-gyártelep, Ibolya u. 2. szám alatt, itt csak a NO</w:t>
      </w:r>
      <w:r w:rsidR="007071C2" w:rsidRPr="00231736">
        <w:rPr>
          <w:rFonts w:ascii="Arial" w:hAnsi="Arial" w:cs="Arial"/>
          <w:szCs w:val="24"/>
          <w:vertAlign w:val="subscript"/>
        </w:rPr>
        <w:t>2</w:t>
      </w:r>
      <w:r w:rsidR="007071C2" w:rsidRPr="00231736">
        <w:rPr>
          <w:rFonts w:ascii="Arial" w:hAnsi="Arial" w:cs="Arial"/>
          <w:szCs w:val="24"/>
        </w:rPr>
        <w:t xml:space="preserve"> koncentrációját mérik. A településhez legközelebb lévő – nyilvános adatokat szolgáltató mérőállomáson folyamatos, több komponensre is kiterjedő mérése történik.</w:t>
      </w:r>
    </w:p>
    <w:p w:rsidR="007B1161" w:rsidRDefault="007B1161" w:rsidP="00EB5ED1">
      <w:pPr>
        <w:spacing w:after="0" w:line="276" w:lineRule="auto"/>
        <w:rPr>
          <w:rFonts w:ascii="Arial" w:hAnsi="Arial" w:cs="Arial"/>
          <w:szCs w:val="24"/>
          <w:lang w:eastAsia="zh-CN"/>
        </w:rPr>
      </w:pPr>
    </w:p>
    <w:p w:rsidR="007B1161" w:rsidRDefault="007071C2" w:rsidP="00EB5ED1">
      <w:pPr>
        <w:spacing w:after="0" w:line="276" w:lineRule="auto"/>
        <w:jc w:val="both"/>
        <w:rPr>
          <w:rFonts w:ascii="Arial" w:hAnsi="Arial" w:cs="Arial"/>
          <w:szCs w:val="24"/>
          <w:lang w:eastAsia="zh-CN"/>
        </w:rPr>
      </w:pPr>
      <w:r w:rsidRPr="00231736">
        <w:rPr>
          <w:rFonts w:ascii="Arial" w:hAnsi="Arial" w:cs="Arial"/>
          <w:szCs w:val="24"/>
          <w:lang w:eastAsia="zh-CN"/>
        </w:rPr>
        <w:t>(</w:t>
      </w:r>
      <w:r w:rsidRPr="00231736">
        <w:rPr>
          <w:rFonts w:ascii="Arial" w:hAnsi="Arial" w:cs="Arial"/>
          <w:szCs w:val="24"/>
        </w:rPr>
        <w:t>Beszámoló 1. számú melléklete a várpalotai automata állomás mérési eredményeit tartalmazza 201</w:t>
      </w:r>
      <w:r w:rsidR="00BE2890">
        <w:rPr>
          <w:rFonts w:ascii="Arial" w:hAnsi="Arial" w:cs="Arial"/>
          <w:szCs w:val="24"/>
        </w:rPr>
        <w:t>8</w:t>
      </w:r>
      <w:r w:rsidRPr="00231736">
        <w:rPr>
          <w:rFonts w:ascii="Arial" w:hAnsi="Arial" w:cs="Arial"/>
          <w:szCs w:val="24"/>
        </w:rPr>
        <w:t>.01.01 – 201</w:t>
      </w:r>
      <w:r w:rsidR="00BE2890">
        <w:rPr>
          <w:rFonts w:ascii="Arial" w:hAnsi="Arial" w:cs="Arial"/>
          <w:szCs w:val="24"/>
        </w:rPr>
        <w:t>8</w:t>
      </w:r>
      <w:r w:rsidRPr="00231736">
        <w:rPr>
          <w:rFonts w:ascii="Arial" w:hAnsi="Arial" w:cs="Arial"/>
          <w:szCs w:val="24"/>
        </w:rPr>
        <w:t>.12.31. időszak között</w:t>
      </w:r>
      <w:r w:rsidRPr="00231736">
        <w:rPr>
          <w:rFonts w:ascii="Arial" w:hAnsi="Arial" w:cs="Arial"/>
          <w:szCs w:val="24"/>
          <w:lang w:eastAsia="zh-CN"/>
        </w:rPr>
        <w:t>.)</w:t>
      </w:r>
    </w:p>
    <w:p w:rsidR="007B1161" w:rsidRPr="00231736" w:rsidRDefault="007B1161" w:rsidP="00EB5ED1">
      <w:pPr>
        <w:spacing w:after="0" w:line="276" w:lineRule="auto"/>
        <w:jc w:val="both"/>
        <w:rPr>
          <w:rFonts w:ascii="Arial" w:hAnsi="Arial" w:cs="Arial"/>
          <w:szCs w:val="24"/>
          <w:lang w:eastAsia="zh-CN"/>
        </w:rPr>
      </w:pPr>
      <w:r>
        <w:rPr>
          <w:rFonts w:ascii="Arial" w:hAnsi="Arial" w:cs="Arial"/>
          <w:szCs w:val="24"/>
          <w:lang w:eastAsia="zh-CN"/>
        </w:rPr>
        <w:t>(Beszámoló 2. számú melléklete tartalmazza a Berhida-Peremarton, Ibolya úti mérőállomás mérési eredményeit</w:t>
      </w:r>
      <w:r w:rsidR="00E30ABD">
        <w:rPr>
          <w:rFonts w:ascii="Arial" w:hAnsi="Arial" w:cs="Arial"/>
          <w:szCs w:val="24"/>
          <w:lang w:eastAsia="zh-CN"/>
        </w:rPr>
        <w:t xml:space="preserve"> tartalmazza</w:t>
      </w:r>
      <w:r>
        <w:rPr>
          <w:rFonts w:ascii="Arial" w:hAnsi="Arial" w:cs="Arial"/>
          <w:szCs w:val="24"/>
          <w:lang w:eastAsia="zh-CN"/>
        </w:rPr>
        <w:t>.)</w:t>
      </w: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eastAsia="HiddenHorzOCR" w:hAnsi="Arial" w:cs="Arial"/>
          <w:szCs w:val="24"/>
        </w:rPr>
        <w:lastRenderedPageBreak/>
        <w:t xml:space="preserve">Visszatérő </w:t>
      </w:r>
      <w:r w:rsidRPr="00231736">
        <w:rPr>
          <w:rFonts w:ascii="Arial" w:hAnsi="Arial" w:cs="Arial"/>
          <w:szCs w:val="24"/>
        </w:rPr>
        <w:t>probléma településünkön</w:t>
      </w:r>
      <w:r w:rsidR="00BE2890">
        <w:rPr>
          <w:rFonts w:ascii="Arial" w:hAnsi="Arial" w:cs="Arial"/>
          <w:szCs w:val="24"/>
        </w:rPr>
        <w:t xml:space="preserve"> különösen </w:t>
      </w:r>
      <w:r w:rsidR="007B1161">
        <w:rPr>
          <w:rFonts w:ascii="Arial" w:hAnsi="Arial" w:cs="Arial"/>
          <w:szCs w:val="24"/>
        </w:rPr>
        <w:t>p</w:t>
      </w:r>
      <w:r w:rsidR="00BE2890">
        <w:rPr>
          <w:rFonts w:ascii="Arial" w:hAnsi="Arial" w:cs="Arial"/>
          <w:szCs w:val="24"/>
        </w:rPr>
        <w:t>eremartoni városrészen</w:t>
      </w:r>
      <w:r w:rsidRPr="00231736">
        <w:rPr>
          <w:rFonts w:ascii="Arial" w:hAnsi="Arial" w:cs="Arial"/>
          <w:szCs w:val="24"/>
        </w:rPr>
        <w:t xml:space="preserve"> az alkalmanként </w:t>
      </w:r>
      <w:r w:rsidRPr="00231736">
        <w:rPr>
          <w:rFonts w:ascii="Arial" w:eastAsia="HiddenHorzOCR" w:hAnsi="Arial" w:cs="Arial"/>
          <w:szCs w:val="24"/>
        </w:rPr>
        <w:t xml:space="preserve">érezhető "bűz", </w:t>
      </w:r>
      <w:r w:rsidRPr="00231736">
        <w:rPr>
          <w:rFonts w:ascii="Arial" w:hAnsi="Arial" w:cs="Arial"/>
          <w:szCs w:val="24"/>
        </w:rPr>
        <w:t>az un</w:t>
      </w:r>
      <w:r w:rsidR="00C11142">
        <w:rPr>
          <w:rFonts w:ascii="Arial" w:hAnsi="Arial" w:cs="Arial"/>
          <w:szCs w:val="24"/>
        </w:rPr>
        <w:t xml:space="preserve"> </w:t>
      </w:r>
      <w:r w:rsidRPr="00231736">
        <w:rPr>
          <w:rFonts w:ascii="Arial" w:hAnsi="Arial" w:cs="Arial"/>
          <w:szCs w:val="24"/>
        </w:rPr>
        <w:t xml:space="preserve">szagterhelés. A </w:t>
      </w:r>
      <w:r w:rsidRPr="00231736">
        <w:rPr>
          <w:rFonts w:ascii="Arial" w:eastAsia="HiddenHorzOCR" w:hAnsi="Arial" w:cs="Arial"/>
          <w:szCs w:val="24"/>
        </w:rPr>
        <w:t xml:space="preserve">"bűz" </w:t>
      </w:r>
      <w:r w:rsidRPr="00231736">
        <w:rPr>
          <w:rFonts w:ascii="Arial" w:hAnsi="Arial" w:cs="Arial"/>
          <w:szCs w:val="24"/>
        </w:rPr>
        <w:t xml:space="preserve">okozója nem a lakosság, hanem valamelyik </w:t>
      </w:r>
      <w:r w:rsidR="00922A17">
        <w:rPr>
          <w:rFonts w:ascii="Arial" w:hAnsi="Arial" w:cs="Arial"/>
          <w:szCs w:val="24"/>
        </w:rPr>
        <w:t>az ipari parkban működő</w:t>
      </w:r>
      <w:r w:rsidRPr="00231736">
        <w:rPr>
          <w:rFonts w:ascii="Arial" w:hAnsi="Arial" w:cs="Arial"/>
          <w:szCs w:val="24"/>
        </w:rPr>
        <w:t xml:space="preserve"> cég</w:t>
      </w:r>
      <w:r w:rsidR="007B1161">
        <w:rPr>
          <w:rFonts w:ascii="Arial" w:hAnsi="Arial" w:cs="Arial"/>
          <w:szCs w:val="24"/>
        </w:rPr>
        <w:t xml:space="preserve"> okozója</w:t>
      </w:r>
      <w:r w:rsidRPr="00231736">
        <w:rPr>
          <w:rFonts w:ascii="Arial" w:hAnsi="Arial" w:cs="Arial"/>
          <w:szCs w:val="24"/>
        </w:rPr>
        <w:t>.</w:t>
      </w:r>
    </w:p>
    <w:p w:rsidR="007071C2" w:rsidRPr="00231736" w:rsidRDefault="007071C2" w:rsidP="00EB5ED1">
      <w:pPr>
        <w:autoSpaceDE w:val="0"/>
        <w:autoSpaceDN w:val="0"/>
        <w:adjustRightInd w:val="0"/>
        <w:spacing w:after="0" w:line="276" w:lineRule="auto"/>
        <w:jc w:val="both"/>
        <w:rPr>
          <w:rFonts w:ascii="Arial" w:hAnsi="Arial" w:cs="Arial"/>
          <w:szCs w:val="24"/>
        </w:rPr>
      </w:pPr>
    </w:p>
    <w:p w:rsidR="007071C2" w:rsidRPr="00F63E23"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F63E23">
        <w:rPr>
          <w:rFonts w:ascii="Arial" w:hAnsi="Arial" w:cs="Arial"/>
          <w:b/>
          <w:szCs w:val="24"/>
        </w:rPr>
        <w:t>Ipari üzemek okozta környezetterhelések</w:t>
      </w:r>
      <w:r w:rsidR="00F63E23">
        <w:rPr>
          <w:rFonts w:ascii="Arial" w:hAnsi="Arial" w:cs="Arial"/>
          <w:b/>
          <w:szCs w:val="24"/>
        </w:rPr>
        <w:t>, balesetek elleni védekezés</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Településünk környezeti állapotát </w:t>
      </w:r>
      <w:r w:rsidRPr="00231736">
        <w:rPr>
          <w:rFonts w:ascii="Arial" w:eastAsia="HiddenHorzOCR" w:hAnsi="Arial" w:cs="Arial"/>
          <w:szCs w:val="24"/>
        </w:rPr>
        <w:t xml:space="preserve">jelentősen </w:t>
      </w:r>
      <w:r w:rsidRPr="00231736">
        <w:rPr>
          <w:rFonts w:ascii="Arial" w:hAnsi="Arial" w:cs="Arial"/>
          <w:szCs w:val="24"/>
        </w:rPr>
        <w:t xml:space="preserve">befolyásolják az itt </w:t>
      </w:r>
      <w:r w:rsidRPr="00231736">
        <w:rPr>
          <w:rFonts w:ascii="Arial" w:eastAsia="HiddenHorzOCR" w:hAnsi="Arial" w:cs="Arial"/>
          <w:szCs w:val="24"/>
        </w:rPr>
        <w:t xml:space="preserve">működő </w:t>
      </w:r>
      <w:r w:rsidRPr="00231736">
        <w:rPr>
          <w:rFonts w:ascii="Arial" w:hAnsi="Arial" w:cs="Arial"/>
          <w:szCs w:val="24"/>
        </w:rPr>
        <w:t>ipari tevékenységet</w:t>
      </w:r>
      <w:r w:rsidR="0000206A">
        <w:rPr>
          <w:rFonts w:ascii="Arial" w:hAnsi="Arial" w:cs="Arial"/>
          <w:szCs w:val="24"/>
        </w:rPr>
        <w:t xml:space="preserve"> </w:t>
      </w:r>
      <w:r w:rsidRPr="00231736">
        <w:rPr>
          <w:rFonts w:ascii="Arial" w:hAnsi="Arial" w:cs="Arial"/>
          <w:szCs w:val="24"/>
        </w:rPr>
        <w:t>folytató üzemek által kibocsátott anyagok.</w:t>
      </w:r>
    </w:p>
    <w:p w:rsidR="00F63E23" w:rsidRDefault="00F63E23" w:rsidP="00EB5ED1">
      <w:pPr>
        <w:autoSpaceDE w:val="0"/>
        <w:autoSpaceDN w:val="0"/>
        <w:adjustRightInd w:val="0"/>
        <w:spacing w:after="0" w:line="276" w:lineRule="auto"/>
        <w:rPr>
          <w:rFonts w:ascii="Arial" w:hAnsi="Arial" w:cs="Arial"/>
          <w:szCs w:val="24"/>
        </w:rPr>
      </w:pPr>
    </w:p>
    <w:p w:rsidR="00567C2F" w:rsidRPr="00567C2F" w:rsidRDefault="00567C2F" w:rsidP="00EB5ED1">
      <w:pPr>
        <w:pStyle w:val="Listaszerbekezds"/>
        <w:numPr>
          <w:ilvl w:val="1"/>
          <w:numId w:val="6"/>
        </w:numPr>
        <w:autoSpaceDE w:val="0"/>
        <w:autoSpaceDN w:val="0"/>
        <w:adjustRightInd w:val="0"/>
        <w:spacing w:after="0" w:line="276" w:lineRule="auto"/>
        <w:ind w:left="426" w:hanging="426"/>
        <w:rPr>
          <w:rFonts w:ascii="Arial" w:hAnsi="Arial" w:cs="Arial"/>
          <w:i/>
          <w:szCs w:val="24"/>
        </w:rPr>
      </w:pPr>
      <w:r w:rsidRPr="00567C2F">
        <w:rPr>
          <w:rFonts w:ascii="Arial" w:hAnsi="Arial" w:cs="Arial"/>
          <w:i/>
          <w:szCs w:val="24"/>
        </w:rPr>
        <w:t>Ipari baleset elleni védekezés</w:t>
      </w:r>
    </w:p>
    <w:p w:rsidR="00567C2F" w:rsidRDefault="00567C2F" w:rsidP="00EB5ED1">
      <w:pPr>
        <w:autoSpaceDE w:val="0"/>
        <w:autoSpaceDN w:val="0"/>
        <w:adjustRightInd w:val="0"/>
        <w:spacing w:after="0" w:line="276" w:lineRule="auto"/>
        <w:rPr>
          <w:rFonts w:ascii="Arial" w:hAnsi="Arial" w:cs="Arial"/>
          <w:szCs w:val="24"/>
        </w:rPr>
      </w:pPr>
    </w:p>
    <w:p w:rsidR="00F63E23" w:rsidRDefault="00E91A95" w:rsidP="00EB5ED1">
      <w:pPr>
        <w:autoSpaceDE w:val="0"/>
        <w:autoSpaceDN w:val="0"/>
        <w:adjustRightInd w:val="0"/>
        <w:spacing w:after="0" w:line="276" w:lineRule="auto"/>
        <w:jc w:val="both"/>
        <w:rPr>
          <w:rFonts w:ascii="Arial" w:hAnsi="Arial" w:cs="Arial"/>
          <w:szCs w:val="24"/>
        </w:rPr>
      </w:pPr>
      <w:r>
        <w:rPr>
          <w:rFonts w:ascii="Arial" w:hAnsi="Arial" w:cs="Arial"/>
          <w:szCs w:val="24"/>
        </w:rPr>
        <w:t xml:space="preserve">A </w:t>
      </w:r>
      <w:r w:rsidR="00F63E23">
        <w:rPr>
          <w:rFonts w:ascii="Arial" w:hAnsi="Arial" w:cs="Arial"/>
          <w:szCs w:val="24"/>
        </w:rPr>
        <w:t>2018-as év</w:t>
      </w:r>
      <w:r w:rsidR="00D73634">
        <w:rPr>
          <w:rFonts w:ascii="Arial" w:hAnsi="Arial" w:cs="Arial"/>
          <w:szCs w:val="24"/>
        </w:rPr>
        <w:t xml:space="preserve"> tavaszán</w:t>
      </w:r>
      <w:r w:rsidR="00F63E23">
        <w:rPr>
          <w:rFonts w:ascii="Arial" w:hAnsi="Arial" w:cs="Arial"/>
          <w:szCs w:val="24"/>
        </w:rPr>
        <w:t xml:space="preserve"> az Ag</w:t>
      </w:r>
      <w:r>
        <w:rPr>
          <w:rFonts w:ascii="Arial" w:hAnsi="Arial" w:cs="Arial"/>
          <w:szCs w:val="24"/>
        </w:rPr>
        <w:t>r</w:t>
      </w:r>
      <w:r w:rsidR="00F63E23">
        <w:rPr>
          <w:rFonts w:ascii="Arial" w:hAnsi="Arial" w:cs="Arial"/>
          <w:szCs w:val="24"/>
        </w:rPr>
        <w:t>oterm</w:t>
      </w:r>
      <w:r w:rsidR="00D73634">
        <w:rPr>
          <w:rFonts w:ascii="Arial" w:hAnsi="Arial" w:cs="Arial"/>
          <w:szCs w:val="24"/>
        </w:rPr>
        <w:t xml:space="preserve"> Kft. közreműködésével </w:t>
      </w:r>
      <w:r>
        <w:rPr>
          <w:rFonts w:ascii="Arial" w:hAnsi="Arial" w:cs="Arial"/>
          <w:szCs w:val="24"/>
        </w:rPr>
        <w:t>sikeres gyakorlatot hajtottunk végre a Veszprém Megyei Katasztrófavédelmi Igazgatóság bevonásával, melyben több más szervezet és hatóság működött közre.</w:t>
      </w:r>
    </w:p>
    <w:p w:rsidR="00F63E23" w:rsidRDefault="00F63E23" w:rsidP="00EB5ED1">
      <w:pPr>
        <w:autoSpaceDE w:val="0"/>
        <w:autoSpaceDN w:val="0"/>
        <w:adjustRightInd w:val="0"/>
        <w:spacing w:after="0" w:line="276" w:lineRule="auto"/>
        <w:rPr>
          <w:rFonts w:ascii="Arial" w:hAnsi="Arial" w:cs="Arial"/>
          <w:szCs w:val="24"/>
        </w:rPr>
      </w:pPr>
    </w:p>
    <w:p w:rsidR="00E91A95" w:rsidRDefault="00F63E23" w:rsidP="00EB5ED1">
      <w:pPr>
        <w:autoSpaceDE w:val="0"/>
        <w:autoSpaceDN w:val="0"/>
        <w:adjustRightInd w:val="0"/>
        <w:spacing w:after="0" w:line="276" w:lineRule="auto"/>
        <w:jc w:val="both"/>
        <w:rPr>
          <w:rFonts w:ascii="Arial" w:hAnsi="Arial" w:cs="Arial"/>
          <w:szCs w:val="24"/>
        </w:rPr>
      </w:pPr>
      <w:r w:rsidRPr="00F63E23">
        <w:rPr>
          <w:rFonts w:ascii="Arial" w:hAnsi="Arial" w:cs="Arial"/>
          <w:szCs w:val="24"/>
        </w:rPr>
        <w:t>A gazdaságban jelen lévő veszélyes anyagok tárolása, feldolgozása, felhasználása magában hordja a súlyos ipari balesetek kialakulásának kockázatát. Szerencsére ilyen súlyos ipari balesetek ritkán fordulnak elő. Az uniós normákat (Seveso III. Irányelv) rögzítő veszélyes anyagokkal kapcsolatos súlyos ipari balesetek elleni védekezésről szóló katasztrófavédelmi törvény a súlyos ipari balesetek megelőzését és a balesetek káros következményeinek csökkentését célzó intézkedéseket vezetett be hazánkban.</w:t>
      </w:r>
    </w:p>
    <w:p w:rsidR="00E91A95" w:rsidRDefault="00E91A95" w:rsidP="00EB5ED1">
      <w:pPr>
        <w:autoSpaceDE w:val="0"/>
        <w:autoSpaceDN w:val="0"/>
        <w:adjustRightInd w:val="0"/>
        <w:spacing w:after="0" w:line="276" w:lineRule="auto"/>
        <w:jc w:val="both"/>
        <w:rPr>
          <w:rFonts w:ascii="Arial" w:hAnsi="Arial" w:cs="Arial"/>
          <w:szCs w:val="24"/>
        </w:rPr>
      </w:pPr>
    </w:p>
    <w:p w:rsidR="00E91A95" w:rsidRDefault="00F63E23" w:rsidP="00EB5ED1">
      <w:pPr>
        <w:autoSpaceDE w:val="0"/>
        <w:autoSpaceDN w:val="0"/>
        <w:adjustRightInd w:val="0"/>
        <w:spacing w:after="0" w:line="276" w:lineRule="auto"/>
        <w:jc w:val="both"/>
        <w:rPr>
          <w:rFonts w:ascii="Arial" w:hAnsi="Arial" w:cs="Arial"/>
          <w:szCs w:val="24"/>
        </w:rPr>
      </w:pPr>
      <w:r w:rsidRPr="00F63E23">
        <w:rPr>
          <w:rFonts w:ascii="Arial" w:hAnsi="Arial" w:cs="Arial"/>
          <w:szCs w:val="24"/>
        </w:rPr>
        <w:t xml:space="preserve">A törvény a </w:t>
      </w:r>
      <w:r w:rsidR="00567C2F">
        <w:rPr>
          <w:rFonts w:ascii="Arial" w:hAnsi="Arial" w:cs="Arial"/>
          <w:szCs w:val="24"/>
        </w:rPr>
        <w:t>katasztrófavédelem</w:t>
      </w:r>
      <w:r w:rsidRPr="00F63E23">
        <w:rPr>
          <w:rFonts w:ascii="Arial" w:hAnsi="Arial" w:cs="Arial"/>
          <w:szCs w:val="24"/>
        </w:rPr>
        <w:t xml:space="preserve"> feladatává tette a súlyos ipari balesetek elleni védekezéshez kapcsolódó állami feladatok irányítását és azok ellátásának biztosítását. A katasztrófavédelmi törvény a veszélyes anyagokkal foglalkozó üzemek vezetői kötelességévé teszi az üzemben jelenlevő veszélyes anyagokkal kapcsolatos kockázatok felmérését, a reálisan feltételezhető súlyos ipari balesetek bekövetkeztekor jelentkező hatások meghatározását, a lakosság és a környezet védelmének érdekében a szükséges üzemi megelőző intézkedések megtételét. Ezen információt a veszélyes üzem </w:t>
      </w:r>
      <w:r w:rsidR="00EB5ED1">
        <w:rPr>
          <w:rFonts w:ascii="Arial" w:hAnsi="Arial" w:cs="Arial"/>
          <w:szCs w:val="24"/>
        </w:rPr>
        <w:t>biztonsági jelentése</w:t>
      </w:r>
      <w:r w:rsidRPr="00F63E23">
        <w:rPr>
          <w:rFonts w:ascii="Arial" w:hAnsi="Arial" w:cs="Arial"/>
          <w:szCs w:val="24"/>
        </w:rPr>
        <w:t>/</w:t>
      </w:r>
      <w:r w:rsidR="00EB5ED1">
        <w:rPr>
          <w:rFonts w:ascii="Arial" w:hAnsi="Arial" w:cs="Arial"/>
          <w:szCs w:val="24"/>
        </w:rPr>
        <w:t>biztonsági elemzése</w:t>
      </w:r>
      <w:r w:rsidRPr="00F63E23">
        <w:rPr>
          <w:rFonts w:ascii="Arial" w:hAnsi="Arial" w:cs="Arial"/>
          <w:szCs w:val="24"/>
        </w:rPr>
        <w:t xml:space="preserve"> tartalmazza.</w:t>
      </w:r>
    </w:p>
    <w:p w:rsidR="00E91A95" w:rsidRDefault="00E91A95" w:rsidP="00EB5ED1">
      <w:pPr>
        <w:autoSpaceDE w:val="0"/>
        <w:autoSpaceDN w:val="0"/>
        <w:adjustRightInd w:val="0"/>
        <w:spacing w:after="0" w:line="276" w:lineRule="auto"/>
        <w:jc w:val="both"/>
        <w:rPr>
          <w:rFonts w:ascii="Arial" w:hAnsi="Arial" w:cs="Arial"/>
          <w:szCs w:val="24"/>
        </w:rPr>
      </w:pPr>
    </w:p>
    <w:p w:rsidR="00F63E23" w:rsidRDefault="00F63E23" w:rsidP="00EB5ED1">
      <w:pPr>
        <w:autoSpaceDE w:val="0"/>
        <w:autoSpaceDN w:val="0"/>
        <w:adjustRightInd w:val="0"/>
        <w:spacing w:after="0" w:line="276" w:lineRule="auto"/>
        <w:jc w:val="both"/>
        <w:rPr>
          <w:rFonts w:ascii="Arial" w:hAnsi="Arial" w:cs="Arial"/>
          <w:szCs w:val="24"/>
        </w:rPr>
      </w:pPr>
      <w:r w:rsidRPr="00F63E23">
        <w:rPr>
          <w:rFonts w:ascii="Arial" w:hAnsi="Arial" w:cs="Arial"/>
          <w:szCs w:val="24"/>
        </w:rPr>
        <w:t xml:space="preserve">A veszélyes anyagokkal foglalkozó üzem biztonsági jelentése/biztonsági elemzése </w:t>
      </w:r>
      <w:r w:rsidR="00E91A95">
        <w:rPr>
          <w:rFonts w:ascii="Arial" w:hAnsi="Arial" w:cs="Arial"/>
          <w:szCs w:val="24"/>
        </w:rPr>
        <w:t>nyilvános</w:t>
      </w:r>
      <w:r w:rsidRPr="00F63E23">
        <w:rPr>
          <w:rFonts w:ascii="Arial" w:hAnsi="Arial" w:cs="Arial"/>
          <w:szCs w:val="24"/>
        </w:rPr>
        <w:t xml:space="preserve">, a helyi polgármesteri hivatalban mindenki számára hozzáférhető. </w:t>
      </w:r>
      <w:r w:rsidR="00567C2F">
        <w:rPr>
          <w:rFonts w:ascii="Arial" w:hAnsi="Arial" w:cs="Arial"/>
          <w:szCs w:val="24"/>
        </w:rPr>
        <w:t>fontos követelmény</w:t>
      </w:r>
      <w:r w:rsidRPr="00F63E23">
        <w:rPr>
          <w:rFonts w:ascii="Arial" w:hAnsi="Arial" w:cs="Arial"/>
          <w:szCs w:val="24"/>
        </w:rPr>
        <w:t xml:space="preserve">, hogy az üzemeltető köteles minden tőle elvárhatót megtenni a súlyos ipari balesetek megelőzésére, és a kialakult balesetek üzemen belüli hatásainak mérséklésére. Egy bekövetkező váratlan esemény kezelésére a település polgármestere - a hivatásos katasztrófavédelem területi szervével együttműködve – </w:t>
      </w:r>
      <w:r w:rsidR="00567C2F">
        <w:rPr>
          <w:rFonts w:ascii="Arial" w:hAnsi="Arial" w:cs="Arial"/>
          <w:szCs w:val="24"/>
        </w:rPr>
        <w:t>külső védelmi tervet</w:t>
      </w:r>
      <w:r w:rsidRPr="00F63E23">
        <w:rPr>
          <w:rFonts w:ascii="Arial" w:hAnsi="Arial" w:cs="Arial"/>
          <w:szCs w:val="24"/>
        </w:rPr>
        <w:t xml:space="preserve"> készít, amely meghatározza a lakosság, az anyagi javak és a környezet védelmével kapcsolatos feladatokat, a végrehajtásukkal összefüggő feltételeket, erőket és eszközöket.</w:t>
      </w:r>
    </w:p>
    <w:p w:rsidR="00567C2F" w:rsidRDefault="00567C2F" w:rsidP="00EB5ED1">
      <w:pPr>
        <w:autoSpaceDE w:val="0"/>
        <w:autoSpaceDN w:val="0"/>
        <w:adjustRightInd w:val="0"/>
        <w:spacing w:after="0" w:line="276" w:lineRule="auto"/>
        <w:jc w:val="both"/>
        <w:rPr>
          <w:rFonts w:ascii="Arial" w:hAnsi="Arial" w:cs="Arial"/>
          <w:szCs w:val="24"/>
        </w:rPr>
      </w:pPr>
    </w:p>
    <w:p w:rsidR="00567C2F" w:rsidRDefault="00567C2F" w:rsidP="00EB5ED1">
      <w:pPr>
        <w:autoSpaceDE w:val="0"/>
        <w:autoSpaceDN w:val="0"/>
        <w:adjustRightInd w:val="0"/>
        <w:spacing w:after="0" w:line="276" w:lineRule="auto"/>
        <w:jc w:val="both"/>
        <w:rPr>
          <w:rFonts w:ascii="Arial" w:hAnsi="Arial" w:cs="Arial"/>
          <w:szCs w:val="24"/>
        </w:rPr>
      </w:pPr>
      <w:r>
        <w:rPr>
          <w:rFonts w:ascii="Arial" w:hAnsi="Arial" w:cs="Arial"/>
          <w:szCs w:val="24"/>
        </w:rPr>
        <w:t xml:space="preserve">A tavalyi év novemberében – két időpontban – került ismételt megrendezésre 138 résztvevővel az éves polgárvédelmi kiképzés, melynek keretében a katasztrófavédelemtől és az országos mentőszolgálattól érkezett előadóktól hallottunk </w:t>
      </w:r>
      <w:r>
        <w:rPr>
          <w:rFonts w:ascii="Arial" w:hAnsi="Arial" w:cs="Arial"/>
          <w:szCs w:val="24"/>
        </w:rPr>
        <w:lastRenderedPageBreak/>
        <w:t>előadásokat. A délelőtti programok végeztével a polgárvédelemben résztvevők tesztet töltöttek ki.</w:t>
      </w:r>
    </w:p>
    <w:p w:rsidR="00BE2890" w:rsidRDefault="00BE2890"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r>
        <w:rPr>
          <w:rFonts w:ascii="Arial" w:hAnsi="Arial" w:cs="Arial"/>
          <w:szCs w:val="24"/>
        </w:rPr>
        <w:t>Kérem a Tisztelt Képviselő-testületet, hogy az előterjesztést vitassa meg és az alábbi határozati javaslatot támogatni szíveskedjenek.</w:t>
      </w: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r>
        <w:rPr>
          <w:rFonts w:ascii="Arial" w:hAnsi="Arial" w:cs="Arial"/>
          <w:szCs w:val="24"/>
        </w:rPr>
        <w:t>Berhida, 2019. március 13.</w:t>
      </w: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AD2BDF">
      <w:pPr>
        <w:tabs>
          <w:tab w:val="center" w:pos="6804"/>
        </w:tabs>
        <w:autoSpaceDE w:val="0"/>
        <w:autoSpaceDN w:val="0"/>
        <w:adjustRightInd w:val="0"/>
        <w:spacing w:after="0" w:line="276" w:lineRule="auto"/>
        <w:jc w:val="both"/>
        <w:rPr>
          <w:rFonts w:ascii="Arial" w:hAnsi="Arial" w:cs="Arial"/>
          <w:szCs w:val="24"/>
        </w:rPr>
      </w:pPr>
      <w:r>
        <w:rPr>
          <w:rFonts w:ascii="Arial" w:hAnsi="Arial" w:cs="Arial"/>
          <w:szCs w:val="24"/>
        </w:rPr>
        <w:tab/>
        <w:t>Pergő Margit</w:t>
      </w:r>
    </w:p>
    <w:p w:rsidR="00AD2BDF" w:rsidRDefault="00AD2BDF" w:rsidP="00AD2BDF">
      <w:pPr>
        <w:tabs>
          <w:tab w:val="center" w:pos="6804"/>
        </w:tabs>
        <w:autoSpaceDE w:val="0"/>
        <w:autoSpaceDN w:val="0"/>
        <w:adjustRightInd w:val="0"/>
        <w:spacing w:after="0" w:line="276" w:lineRule="auto"/>
        <w:jc w:val="both"/>
        <w:rPr>
          <w:rFonts w:ascii="Arial" w:hAnsi="Arial" w:cs="Arial"/>
          <w:szCs w:val="24"/>
        </w:rPr>
      </w:pPr>
      <w:r>
        <w:rPr>
          <w:rFonts w:ascii="Arial" w:hAnsi="Arial" w:cs="Arial"/>
          <w:szCs w:val="24"/>
        </w:rPr>
        <w:tab/>
        <w:t>polgármester</w:t>
      </w:r>
    </w:p>
    <w:p w:rsidR="00BE2890" w:rsidRDefault="00BE2890">
      <w:pPr>
        <w:rPr>
          <w:rFonts w:ascii="Arial" w:hAnsi="Arial" w:cs="Arial"/>
          <w:szCs w:val="24"/>
        </w:rPr>
      </w:pPr>
      <w:r>
        <w:rPr>
          <w:rFonts w:ascii="Arial" w:hAnsi="Arial" w:cs="Arial"/>
          <w:szCs w:val="24"/>
        </w:rPr>
        <w:br w:type="page"/>
      </w:r>
    </w:p>
    <w:p w:rsidR="00BE2890" w:rsidRPr="00BE2890" w:rsidRDefault="00BE2890" w:rsidP="00BE2890">
      <w:pPr>
        <w:pStyle w:val="Listaszerbekezds"/>
        <w:numPr>
          <w:ilvl w:val="0"/>
          <w:numId w:val="19"/>
        </w:numPr>
        <w:jc w:val="right"/>
        <w:rPr>
          <w:rFonts w:ascii="Arial" w:hAnsi="Arial" w:cs="Arial"/>
          <w:szCs w:val="24"/>
        </w:rPr>
      </w:pPr>
      <w:r>
        <w:rPr>
          <w:rFonts w:ascii="Arial" w:hAnsi="Arial" w:cs="Arial"/>
          <w:szCs w:val="24"/>
        </w:rPr>
        <w:lastRenderedPageBreak/>
        <w:t>számú melléklet</w:t>
      </w:r>
    </w:p>
    <w:p w:rsidR="00BE2890" w:rsidRDefault="00BE2890">
      <w:pPr>
        <w:rPr>
          <w:rFonts w:ascii="Arial" w:hAnsi="Arial" w:cs="Arial"/>
          <w:szCs w:val="24"/>
        </w:rPr>
      </w:pPr>
    </w:p>
    <w:tbl>
      <w:tblPr>
        <w:tblW w:w="8200" w:type="dxa"/>
        <w:jc w:val="center"/>
        <w:tblCellMar>
          <w:left w:w="70" w:type="dxa"/>
          <w:right w:w="70" w:type="dxa"/>
        </w:tblCellMar>
        <w:tblLook w:val="04A0" w:firstRow="1" w:lastRow="0" w:firstColumn="1" w:lastColumn="0" w:noHBand="0" w:noVBand="1"/>
      </w:tblPr>
      <w:tblGrid>
        <w:gridCol w:w="1480"/>
        <w:gridCol w:w="960"/>
        <w:gridCol w:w="960"/>
        <w:gridCol w:w="960"/>
        <w:gridCol w:w="960"/>
        <w:gridCol w:w="960"/>
        <w:gridCol w:w="960"/>
        <w:gridCol w:w="960"/>
      </w:tblGrid>
      <w:tr w:rsidR="00BE2890" w:rsidRPr="00BE2890" w:rsidTr="000B3C69">
        <w:trPr>
          <w:trHeight w:val="420"/>
          <w:jc w:val="center"/>
        </w:trPr>
        <w:tc>
          <w:tcPr>
            <w:tcW w:w="820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E2890" w:rsidRPr="00BE2890" w:rsidRDefault="00BE2890" w:rsidP="000B3C69">
            <w:pPr>
              <w:spacing w:after="0" w:line="240" w:lineRule="auto"/>
              <w:rPr>
                <w:rFonts w:eastAsia="Times New Roman" w:cs="Times New Roman"/>
                <w:b/>
                <w:bCs/>
                <w:color w:val="000000"/>
                <w:sz w:val="22"/>
                <w:lang w:eastAsia="hu-HU"/>
              </w:rPr>
            </w:pPr>
            <w:r w:rsidRPr="00BE2890">
              <w:rPr>
                <w:rFonts w:eastAsia="Times New Roman" w:cs="Times New Roman"/>
                <w:b/>
                <w:bCs/>
                <w:color w:val="000000"/>
                <w:sz w:val="22"/>
                <w:lang w:eastAsia="hu-HU"/>
              </w:rPr>
              <w:t>Várpalotai aut</w:t>
            </w:r>
            <w:r>
              <w:rPr>
                <w:rFonts w:eastAsia="Times New Roman" w:cs="Times New Roman"/>
                <w:b/>
                <w:bCs/>
                <w:color w:val="000000"/>
                <w:sz w:val="22"/>
                <w:lang w:eastAsia="hu-HU"/>
              </w:rPr>
              <w:t>o</w:t>
            </w:r>
            <w:r w:rsidRPr="00BE2890">
              <w:rPr>
                <w:rFonts w:eastAsia="Times New Roman" w:cs="Times New Roman"/>
                <w:b/>
                <w:bCs/>
                <w:color w:val="000000"/>
                <w:sz w:val="22"/>
                <w:lang w:eastAsia="hu-HU"/>
              </w:rPr>
              <w:t>mata mérőállomás</w:t>
            </w:r>
          </w:p>
        </w:tc>
      </w:tr>
      <w:tr w:rsidR="00BE2890" w:rsidRPr="00BE2890" w:rsidTr="000B3C69">
        <w:trPr>
          <w:trHeight w:val="645"/>
          <w:jc w:val="center"/>
        </w:trPr>
        <w:tc>
          <w:tcPr>
            <w:tcW w:w="1480" w:type="dxa"/>
            <w:tcBorders>
              <w:top w:val="nil"/>
              <w:left w:val="single" w:sz="8" w:space="0" w:color="auto"/>
              <w:bottom w:val="single" w:sz="8" w:space="0" w:color="auto"/>
              <w:right w:val="single" w:sz="4" w:space="0" w:color="auto"/>
            </w:tcBorders>
            <w:shd w:val="clear" w:color="auto" w:fill="auto"/>
            <w:noWrap/>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SO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CO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O</w:t>
            </w:r>
            <w:r w:rsidRPr="00BE2890">
              <w:rPr>
                <w:rFonts w:eastAsia="Times New Roman" w:cs="Times New Roman"/>
                <w:b/>
                <w:bCs/>
                <w:color w:val="000000"/>
                <w:sz w:val="22"/>
                <w:vertAlign w:val="subscript"/>
                <w:lang w:eastAsia="hu-HU"/>
              </w:rPr>
              <w:t>3</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X</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 (ug/m3)</w:t>
            </w:r>
          </w:p>
        </w:tc>
        <w:tc>
          <w:tcPr>
            <w:tcW w:w="960" w:type="dxa"/>
            <w:tcBorders>
              <w:top w:val="nil"/>
              <w:left w:val="nil"/>
              <w:bottom w:val="single" w:sz="8" w:space="0" w:color="auto"/>
              <w:right w:val="single" w:sz="8"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PM</w:t>
            </w:r>
            <w:r w:rsidRPr="00BE2890">
              <w:rPr>
                <w:rFonts w:eastAsia="Times New Roman" w:cs="Times New Roman"/>
                <w:b/>
                <w:bCs/>
                <w:color w:val="000000"/>
                <w:sz w:val="22"/>
                <w:vertAlign w:val="subscript"/>
                <w:lang w:eastAsia="hu-HU"/>
              </w:rPr>
              <w:t>10</w:t>
            </w:r>
            <w:r w:rsidRPr="00BE2890">
              <w:rPr>
                <w:rFonts w:eastAsia="Times New Roman" w:cs="Times New Roman"/>
                <w:b/>
                <w:bCs/>
                <w:color w:val="000000"/>
                <w:sz w:val="22"/>
                <w:lang w:eastAsia="hu-HU"/>
              </w:rPr>
              <w:t xml:space="preserve"> (ug/m3)</w:t>
            </w:r>
          </w:p>
        </w:tc>
      </w:tr>
      <w:tr w:rsidR="00BE2890" w:rsidRPr="00BE2890" w:rsidTr="000B3C69">
        <w:trPr>
          <w:trHeight w:val="315"/>
          <w:jc w:val="center"/>
        </w:trPr>
        <w:tc>
          <w:tcPr>
            <w:tcW w:w="1480" w:type="dxa"/>
            <w:tcBorders>
              <w:top w:val="nil"/>
              <w:left w:val="single" w:sz="8" w:space="0" w:color="auto"/>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Határértékek</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125</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85</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8"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50</w:t>
            </w:r>
          </w:p>
        </w:tc>
      </w:tr>
      <w:tr w:rsidR="00BE2890" w:rsidRPr="00BE2890" w:rsidTr="000B3C69">
        <w:trPr>
          <w:trHeight w:val="63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DÁTUM</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SO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CO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O</w:t>
            </w:r>
            <w:r w:rsidRPr="00BE2890">
              <w:rPr>
                <w:rFonts w:eastAsia="Times New Roman" w:cs="Times New Roman"/>
                <w:b/>
                <w:bCs/>
                <w:color w:val="000000"/>
                <w:sz w:val="22"/>
                <w:vertAlign w:val="subscript"/>
                <w:lang w:eastAsia="hu-HU"/>
              </w:rPr>
              <w:t>3</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X</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PM</w:t>
            </w:r>
            <w:r w:rsidRPr="00BE2890">
              <w:rPr>
                <w:rFonts w:eastAsia="Times New Roman" w:cs="Times New Roman"/>
                <w:b/>
                <w:bCs/>
                <w:color w:val="000000"/>
                <w:sz w:val="22"/>
                <w:vertAlign w:val="subscript"/>
                <w:lang w:eastAsia="hu-HU"/>
              </w:rPr>
              <w:t>10</w:t>
            </w:r>
            <w:r w:rsidRPr="00BE2890">
              <w:rPr>
                <w:rFonts w:eastAsia="Times New Roman" w:cs="Times New Roman"/>
                <w:b/>
                <w:bCs/>
                <w:color w:val="000000"/>
                <w:sz w:val="22"/>
                <w:lang w:eastAsia="hu-HU"/>
              </w:rPr>
              <w:t xml:space="preserve"> (ug/m3)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2018.01.27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2018.03.01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2018.06.08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2018.07.11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2018.08.13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2018.09.15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2018.10.18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2018.11.20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2018.12.23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bl>
    <w:p w:rsidR="007B1161" w:rsidRDefault="007B1161" w:rsidP="00F63E23">
      <w:pPr>
        <w:autoSpaceDE w:val="0"/>
        <w:autoSpaceDN w:val="0"/>
        <w:adjustRightInd w:val="0"/>
        <w:spacing w:after="0" w:line="240" w:lineRule="auto"/>
        <w:jc w:val="both"/>
        <w:rPr>
          <w:rFonts w:ascii="Arial" w:hAnsi="Arial" w:cs="Arial"/>
          <w:szCs w:val="24"/>
        </w:rPr>
      </w:pPr>
    </w:p>
    <w:p w:rsidR="007B1161" w:rsidRDefault="007B1161">
      <w:pPr>
        <w:rPr>
          <w:rFonts w:ascii="Arial" w:hAnsi="Arial" w:cs="Arial"/>
          <w:szCs w:val="24"/>
        </w:rPr>
      </w:pPr>
      <w:r>
        <w:rPr>
          <w:rFonts w:ascii="Arial" w:hAnsi="Arial" w:cs="Arial"/>
          <w:szCs w:val="24"/>
        </w:rPr>
        <w:br w:type="page"/>
      </w:r>
    </w:p>
    <w:p w:rsidR="007B1161" w:rsidRPr="00BE2890" w:rsidRDefault="007B1161" w:rsidP="00D227ED">
      <w:pPr>
        <w:pStyle w:val="Listaszerbekezds"/>
        <w:numPr>
          <w:ilvl w:val="0"/>
          <w:numId w:val="19"/>
        </w:numPr>
        <w:jc w:val="right"/>
        <w:rPr>
          <w:rFonts w:ascii="Arial" w:hAnsi="Arial" w:cs="Arial"/>
          <w:szCs w:val="24"/>
        </w:rPr>
      </w:pPr>
      <w:r>
        <w:rPr>
          <w:rFonts w:ascii="Arial" w:hAnsi="Arial" w:cs="Arial"/>
          <w:szCs w:val="24"/>
        </w:rPr>
        <w:lastRenderedPageBreak/>
        <w:t>számú melléklet</w:t>
      </w:r>
    </w:p>
    <w:p w:rsidR="007B1161" w:rsidRDefault="007B1161">
      <w:pPr>
        <w:rPr>
          <w:rFonts w:ascii="Arial" w:hAnsi="Arial" w:cs="Arial"/>
          <w:szCs w:val="24"/>
        </w:rPr>
      </w:pPr>
    </w:p>
    <w:tbl>
      <w:tblPr>
        <w:tblW w:w="3720" w:type="dxa"/>
        <w:jc w:val="center"/>
        <w:tblCellMar>
          <w:left w:w="70" w:type="dxa"/>
          <w:right w:w="70" w:type="dxa"/>
        </w:tblCellMar>
        <w:tblLook w:val="04A0" w:firstRow="1" w:lastRow="0" w:firstColumn="1" w:lastColumn="0" w:noHBand="0" w:noVBand="1"/>
      </w:tblPr>
      <w:tblGrid>
        <w:gridCol w:w="1662"/>
        <w:gridCol w:w="2058"/>
      </w:tblGrid>
      <w:tr w:rsidR="007B1161" w:rsidRPr="007B1161" w:rsidTr="000B3C69">
        <w:trPr>
          <w:trHeight w:val="300"/>
          <w:jc w:val="center"/>
        </w:trPr>
        <w:tc>
          <w:tcPr>
            <w:tcW w:w="37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B1161" w:rsidRPr="007B1161" w:rsidRDefault="007B1161" w:rsidP="007B1161">
            <w:pPr>
              <w:spacing w:after="0" w:line="240" w:lineRule="auto"/>
              <w:jc w:val="center"/>
              <w:rPr>
                <w:rFonts w:eastAsia="Times New Roman" w:cs="Times New Roman"/>
                <w:color w:val="000000"/>
                <w:sz w:val="22"/>
                <w:lang w:eastAsia="hu-HU"/>
              </w:rPr>
            </w:pPr>
            <w:r w:rsidRPr="007B1161">
              <w:rPr>
                <w:rFonts w:eastAsia="Times New Roman" w:cs="Times New Roman"/>
                <w:color w:val="000000"/>
                <w:sz w:val="22"/>
                <w:lang w:eastAsia="hu-HU"/>
              </w:rPr>
              <w:t>CÍM: Peremarton, Ibolya u. 2.</w:t>
            </w:r>
          </w:p>
        </w:tc>
      </w:tr>
      <w:tr w:rsidR="007B1161" w:rsidRPr="007B1161" w:rsidTr="000B3C69">
        <w:trPr>
          <w:trHeight w:val="300"/>
          <w:jc w:val="center"/>
        </w:trPr>
        <w:tc>
          <w:tcPr>
            <w:tcW w:w="37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B1161" w:rsidRPr="007B1161" w:rsidRDefault="007B1161" w:rsidP="007B1161">
            <w:pPr>
              <w:spacing w:after="0" w:line="240" w:lineRule="auto"/>
              <w:jc w:val="center"/>
              <w:rPr>
                <w:rFonts w:eastAsia="Times New Roman" w:cs="Times New Roman"/>
                <w:color w:val="000000"/>
                <w:sz w:val="22"/>
                <w:lang w:eastAsia="hu-HU"/>
              </w:rPr>
            </w:pPr>
            <w:r w:rsidRPr="007B1161">
              <w:rPr>
                <w:rFonts w:eastAsia="Times New Roman" w:cs="Times New Roman"/>
                <w:color w:val="000000"/>
                <w:sz w:val="22"/>
                <w:lang w:eastAsia="hu-HU"/>
              </w:rPr>
              <w:t>EOTR 19735788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center"/>
            <w:hideMark/>
          </w:tcPr>
          <w:p w:rsidR="007B1161" w:rsidRPr="007B1161" w:rsidRDefault="007B1161" w:rsidP="007B1161">
            <w:pPr>
              <w:spacing w:after="0" w:line="240" w:lineRule="auto"/>
              <w:jc w:val="center"/>
              <w:rPr>
                <w:rFonts w:eastAsia="Times New Roman" w:cs="Times New Roman"/>
                <w:b/>
                <w:bCs/>
                <w:color w:val="000000"/>
                <w:sz w:val="22"/>
                <w:lang w:eastAsia="hu-HU"/>
              </w:rPr>
            </w:pPr>
            <w:r w:rsidRPr="007B1161">
              <w:rPr>
                <w:rFonts w:eastAsia="Times New Roman" w:cs="Times New Roman"/>
                <w:b/>
                <w:bCs/>
                <w:color w:val="000000"/>
                <w:sz w:val="22"/>
                <w:lang w:eastAsia="hu-HU"/>
              </w:rPr>
              <w:t>DÁTUM</w:t>
            </w:r>
          </w:p>
        </w:tc>
        <w:tc>
          <w:tcPr>
            <w:tcW w:w="2058" w:type="dxa"/>
            <w:tcBorders>
              <w:top w:val="nil"/>
              <w:left w:val="nil"/>
              <w:bottom w:val="single" w:sz="4" w:space="0" w:color="auto"/>
              <w:right w:val="single" w:sz="4" w:space="0" w:color="auto"/>
            </w:tcBorders>
            <w:shd w:val="clear" w:color="auto" w:fill="auto"/>
            <w:noWrap/>
            <w:vAlign w:val="center"/>
            <w:hideMark/>
          </w:tcPr>
          <w:p w:rsidR="007B1161" w:rsidRPr="007B1161" w:rsidRDefault="007B1161" w:rsidP="007B1161">
            <w:pPr>
              <w:spacing w:after="0" w:line="240" w:lineRule="auto"/>
              <w:jc w:val="center"/>
              <w:rPr>
                <w:rFonts w:eastAsia="Times New Roman" w:cs="Times New Roman"/>
                <w:b/>
                <w:bCs/>
                <w:color w:val="000000"/>
                <w:sz w:val="22"/>
                <w:lang w:eastAsia="hu-HU"/>
              </w:rPr>
            </w:pPr>
            <w:r w:rsidRPr="007B1161">
              <w:rPr>
                <w:rFonts w:eastAsia="Times New Roman" w:cs="Times New Roman"/>
                <w:b/>
                <w:bCs/>
                <w:color w:val="000000"/>
                <w:sz w:val="22"/>
                <w:lang w:eastAsia="hu-HU"/>
              </w:rPr>
              <w:t>NO2 (µg/m3)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2018.02.09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2018.03.26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2018.05.10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2018.06.24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2018.08.08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2018.09.22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2018.11.06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2018.12.21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bl>
    <w:p w:rsidR="00363F27" w:rsidRDefault="00363F27">
      <w:pPr>
        <w:rPr>
          <w:rFonts w:ascii="Arial" w:hAnsi="Arial" w:cs="Arial"/>
          <w:szCs w:val="24"/>
        </w:rPr>
      </w:pPr>
    </w:p>
    <w:p w:rsidR="00A41C0E" w:rsidRDefault="00A41C0E">
      <w:pPr>
        <w:rPr>
          <w:rFonts w:ascii="Arial" w:hAnsi="Arial" w:cs="Arial"/>
          <w:szCs w:val="24"/>
        </w:rPr>
        <w:sectPr w:rsidR="00A41C0E">
          <w:footerReference w:type="default" r:id="rId16"/>
          <w:pgSz w:w="11906" w:h="16838"/>
          <w:pgMar w:top="1417" w:right="1417" w:bottom="1417" w:left="1417" w:header="708" w:footer="708" w:gutter="0"/>
          <w:cols w:space="708"/>
          <w:docGrid w:linePitch="360"/>
        </w:sectPr>
      </w:pPr>
    </w:p>
    <w:p w:rsidR="00A94878" w:rsidRPr="00A94878" w:rsidRDefault="00A94878" w:rsidP="00A94878">
      <w:pPr>
        <w:tabs>
          <w:tab w:val="left" w:pos="2520"/>
        </w:tabs>
        <w:spacing w:after="0" w:line="240" w:lineRule="auto"/>
        <w:jc w:val="center"/>
        <w:rPr>
          <w:rFonts w:ascii="Arial" w:eastAsia="Times New Roman" w:hAnsi="Arial" w:cs="Arial"/>
          <w:b/>
          <w:spacing w:val="20"/>
          <w:szCs w:val="24"/>
          <w:lang w:eastAsia="hu-HU"/>
        </w:rPr>
      </w:pPr>
      <w:r w:rsidRPr="00A94878">
        <w:rPr>
          <w:rFonts w:ascii="Arial" w:eastAsia="Times New Roman" w:hAnsi="Arial" w:cs="Arial"/>
          <w:b/>
          <w:szCs w:val="24"/>
          <w:lang w:eastAsia="hu-HU"/>
        </w:rPr>
        <w:lastRenderedPageBreak/>
        <w:t>Határozati javaslat</w:t>
      </w:r>
    </w:p>
    <w:p w:rsidR="00A41C0E" w:rsidRPr="00A94878" w:rsidRDefault="00A41C0E" w:rsidP="00A41C0E">
      <w:pPr>
        <w:tabs>
          <w:tab w:val="left" w:pos="2520"/>
        </w:tabs>
        <w:spacing w:after="0" w:line="240" w:lineRule="auto"/>
        <w:jc w:val="center"/>
        <w:rPr>
          <w:rFonts w:ascii="Arial" w:eastAsia="Times New Roman" w:hAnsi="Arial" w:cs="Arial"/>
          <w:b/>
          <w:szCs w:val="24"/>
          <w:lang w:eastAsia="hu-HU"/>
        </w:rPr>
      </w:pPr>
    </w:p>
    <w:p w:rsidR="00A41C0E" w:rsidRDefault="00A41C0E" w:rsidP="00A41C0E">
      <w:pPr>
        <w:tabs>
          <w:tab w:val="left" w:pos="2520"/>
        </w:tabs>
        <w:spacing w:after="0" w:line="240" w:lineRule="auto"/>
        <w:jc w:val="center"/>
        <w:rPr>
          <w:rFonts w:ascii="Arial" w:eastAsia="Times New Roman" w:hAnsi="Arial" w:cs="Arial"/>
          <w:b/>
          <w:szCs w:val="24"/>
          <w:u w:val="single"/>
          <w:lang w:eastAsia="hu-HU"/>
        </w:rPr>
      </w:pPr>
      <w:proofErr w:type="gramStart"/>
      <w:r w:rsidRPr="00A41C0E">
        <w:rPr>
          <w:rFonts w:ascii="Arial" w:eastAsia="Times New Roman" w:hAnsi="Arial" w:cs="Arial"/>
          <w:b/>
          <w:szCs w:val="24"/>
          <w:u w:val="single"/>
          <w:lang w:eastAsia="hu-HU"/>
        </w:rPr>
        <w:t>….</w:t>
      </w:r>
      <w:proofErr w:type="gramEnd"/>
      <w:r w:rsidRPr="00A41C0E">
        <w:rPr>
          <w:rFonts w:ascii="Arial" w:eastAsia="Times New Roman" w:hAnsi="Arial" w:cs="Arial"/>
          <w:b/>
          <w:szCs w:val="24"/>
          <w:u w:val="single"/>
          <w:lang w:eastAsia="hu-HU"/>
        </w:rPr>
        <w:t>/2019. (I</w:t>
      </w:r>
      <w:r>
        <w:rPr>
          <w:rFonts w:ascii="Arial" w:eastAsia="Times New Roman" w:hAnsi="Arial" w:cs="Arial"/>
          <w:b/>
          <w:szCs w:val="24"/>
          <w:u w:val="single"/>
          <w:lang w:eastAsia="hu-HU"/>
        </w:rPr>
        <w:t>II</w:t>
      </w:r>
      <w:r w:rsidRPr="00A41C0E">
        <w:rPr>
          <w:rFonts w:ascii="Arial" w:eastAsia="Times New Roman" w:hAnsi="Arial" w:cs="Arial"/>
          <w:b/>
          <w:szCs w:val="24"/>
          <w:u w:val="single"/>
          <w:lang w:eastAsia="hu-HU"/>
        </w:rPr>
        <w:t>. 2</w:t>
      </w:r>
      <w:r>
        <w:rPr>
          <w:rFonts w:ascii="Arial" w:eastAsia="Times New Roman" w:hAnsi="Arial" w:cs="Arial"/>
          <w:b/>
          <w:szCs w:val="24"/>
          <w:u w:val="single"/>
          <w:lang w:eastAsia="hu-HU"/>
        </w:rPr>
        <w:t>8</w:t>
      </w:r>
      <w:r w:rsidRPr="00A41C0E">
        <w:rPr>
          <w:rFonts w:ascii="Arial" w:eastAsia="Times New Roman" w:hAnsi="Arial" w:cs="Arial"/>
          <w:b/>
          <w:szCs w:val="24"/>
          <w:u w:val="single"/>
          <w:lang w:eastAsia="hu-HU"/>
        </w:rPr>
        <w:t>.) Kt. határozat</w:t>
      </w:r>
    </w:p>
    <w:p w:rsidR="00A94878" w:rsidRPr="00A41C0E" w:rsidRDefault="00A94878" w:rsidP="00A41C0E">
      <w:pPr>
        <w:tabs>
          <w:tab w:val="left" w:pos="2520"/>
        </w:tabs>
        <w:spacing w:after="0" w:line="240" w:lineRule="auto"/>
        <w:jc w:val="center"/>
        <w:rPr>
          <w:rFonts w:ascii="Arial" w:eastAsia="Times New Roman" w:hAnsi="Arial" w:cs="Arial"/>
          <w:b/>
          <w:szCs w:val="24"/>
          <w:u w:val="single"/>
          <w:lang w:eastAsia="hu-HU"/>
        </w:rPr>
      </w:pPr>
    </w:p>
    <w:p w:rsidR="00A41C0E" w:rsidRPr="00A41C0E" w:rsidRDefault="00A41C0E" w:rsidP="00A41C0E">
      <w:pPr>
        <w:spacing w:after="0" w:line="240" w:lineRule="auto"/>
        <w:jc w:val="center"/>
        <w:rPr>
          <w:rFonts w:ascii="Arial" w:eastAsia="Times New Roman" w:hAnsi="Arial" w:cs="Arial"/>
          <w:b/>
          <w:bCs/>
          <w:szCs w:val="24"/>
          <w:lang w:eastAsia="hu-HU"/>
        </w:rPr>
      </w:pPr>
      <w:bookmarkStart w:id="4" w:name="_Hlk531265018"/>
      <w:r>
        <w:rPr>
          <w:rFonts w:ascii="Arial" w:eastAsia="Times New Roman" w:hAnsi="Arial" w:cs="Arial"/>
          <w:b/>
          <w:bCs/>
          <w:szCs w:val="24"/>
          <w:lang w:eastAsia="hu-HU"/>
        </w:rPr>
        <w:t>Beszámoló a lakóhelyi környezet állapotáról</w:t>
      </w:r>
    </w:p>
    <w:p w:rsidR="00A41C0E" w:rsidRPr="00A41C0E" w:rsidRDefault="00A41C0E" w:rsidP="00A41C0E">
      <w:pPr>
        <w:spacing w:after="0" w:line="360" w:lineRule="auto"/>
        <w:rPr>
          <w:rFonts w:ascii="Arial" w:eastAsia="Times New Roman" w:hAnsi="Arial" w:cs="Arial"/>
          <w:szCs w:val="24"/>
          <w:lang w:eastAsia="hu-HU"/>
        </w:rPr>
      </w:pPr>
    </w:p>
    <w:bookmarkEnd w:id="4"/>
    <w:p w:rsidR="00A41C0E" w:rsidRPr="00A41C0E" w:rsidRDefault="00A41C0E" w:rsidP="00A41C0E">
      <w:pPr>
        <w:tabs>
          <w:tab w:val="left" w:pos="2520"/>
        </w:tabs>
        <w:spacing w:after="0" w:line="240" w:lineRule="auto"/>
        <w:jc w:val="both"/>
        <w:rPr>
          <w:rFonts w:ascii="Arial" w:eastAsia="Times New Roman" w:hAnsi="Arial" w:cs="Arial"/>
          <w:szCs w:val="24"/>
          <w:lang w:eastAsia="hu-HU"/>
        </w:rPr>
      </w:pPr>
      <w:r w:rsidRPr="00A41C0E">
        <w:rPr>
          <w:rFonts w:ascii="Arial" w:eastAsia="Times New Roman" w:hAnsi="Arial" w:cs="Arial"/>
          <w:bCs/>
          <w:szCs w:val="24"/>
          <w:lang w:eastAsia="hu-HU"/>
        </w:rPr>
        <w:t xml:space="preserve">Berhida Város Önkormányzat Képviselő-testülete 2019. </w:t>
      </w:r>
      <w:r>
        <w:rPr>
          <w:rFonts w:ascii="Arial" w:eastAsia="Times New Roman" w:hAnsi="Arial" w:cs="Arial"/>
          <w:bCs/>
          <w:szCs w:val="24"/>
          <w:lang w:eastAsia="hu-HU"/>
        </w:rPr>
        <w:t>március</w:t>
      </w:r>
      <w:r w:rsidRPr="00A41C0E">
        <w:rPr>
          <w:rFonts w:ascii="Arial" w:eastAsia="Times New Roman" w:hAnsi="Arial" w:cs="Arial"/>
          <w:bCs/>
          <w:szCs w:val="24"/>
          <w:lang w:eastAsia="hu-HU"/>
        </w:rPr>
        <w:t xml:space="preserve"> </w:t>
      </w:r>
      <w:r>
        <w:rPr>
          <w:rFonts w:ascii="Arial" w:eastAsia="Times New Roman" w:hAnsi="Arial" w:cs="Arial"/>
          <w:bCs/>
          <w:szCs w:val="24"/>
          <w:lang w:eastAsia="hu-HU"/>
        </w:rPr>
        <w:t>28</w:t>
      </w:r>
      <w:r w:rsidRPr="00A41C0E">
        <w:rPr>
          <w:rFonts w:ascii="Arial" w:eastAsia="Times New Roman" w:hAnsi="Arial" w:cs="Arial"/>
          <w:bCs/>
          <w:szCs w:val="24"/>
          <w:lang w:eastAsia="hu-HU"/>
        </w:rPr>
        <w:t>-ai ülésén megtárgyalta a „</w:t>
      </w:r>
      <w:r>
        <w:rPr>
          <w:rFonts w:ascii="Arial" w:hAnsi="Arial" w:cs="Arial"/>
          <w:b/>
          <w:kern w:val="28"/>
          <w:szCs w:val="24"/>
        </w:rPr>
        <w:t>Beszámoló a lakóhelyi környezet állapotáról</w:t>
      </w:r>
      <w:r w:rsidRPr="00A41C0E">
        <w:rPr>
          <w:rFonts w:ascii="Arial" w:eastAsia="Times New Roman" w:hAnsi="Arial" w:cs="Arial"/>
          <w:szCs w:val="24"/>
          <w:lang w:eastAsia="hu-HU"/>
        </w:rPr>
        <w:t>”</w:t>
      </w:r>
      <w:r w:rsidRPr="00A41C0E">
        <w:rPr>
          <w:rFonts w:ascii="Arial" w:eastAsia="Times New Roman" w:hAnsi="Arial" w:cs="Arial"/>
          <w:bCs/>
          <w:szCs w:val="24"/>
          <w:lang w:eastAsia="hu-HU"/>
        </w:rPr>
        <w:t xml:space="preserve"> tárgyú előterjesztést, és </w:t>
      </w:r>
      <w:r w:rsidR="00DA0A70">
        <w:rPr>
          <w:rFonts w:ascii="Arial" w:eastAsia="Times New Roman" w:hAnsi="Arial" w:cs="Arial"/>
          <w:bCs/>
          <w:szCs w:val="24"/>
          <w:lang w:eastAsia="hu-HU"/>
        </w:rPr>
        <w:t>a következő döntés</w:t>
      </w:r>
      <w:r w:rsidRPr="00A41C0E">
        <w:rPr>
          <w:rFonts w:ascii="Arial" w:eastAsia="Times New Roman" w:hAnsi="Arial" w:cs="Arial"/>
          <w:bCs/>
          <w:szCs w:val="24"/>
          <w:lang w:eastAsia="hu-HU"/>
        </w:rPr>
        <w:t>t hozta:</w:t>
      </w:r>
    </w:p>
    <w:p w:rsidR="00A41C0E" w:rsidRPr="00A41C0E" w:rsidRDefault="00A41C0E" w:rsidP="00A41C0E">
      <w:pPr>
        <w:spacing w:after="0" w:line="240" w:lineRule="auto"/>
        <w:jc w:val="both"/>
        <w:rPr>
          <w:rFonts w:ascii="Arial" w:eastAsia="Times New Roman" w:hAnsi="Arial" w:cs="Arial"/>
          <w:szCs w:val="24"/>
          <w:lang w:eastAsia="hu-HU"/>
        </w:rPr>
      </w:pPr>
    </w:p>
    <w:p w:rsidR="00A41C0E" w:rsidRPr="00A41C0E" w:rsidRDefault="00BB3277" w:rsidP="00A41C0E">
      <w:pPr>
        <w:numPr>
          <w:ilvl w:val="0"/>
          <w:numId w:val="22"/>
        </w:numPr>
        <w:overflowPunct w:val="0"/>
        <w:autoSpaceDE w:val="0"/>
        <w:autoSpaceDN w:val="0"/>
        <w:adjustRightInd w:val="0"/>
        <w:spacing w:after="0" w:line="276" w:lineRule="auto"/>
        <w:jc w:val="both"/>
        <w:rPr>
          <w:rFonts w:ascii="Arial" w:hAnsi="Arial" w:cs="Arial"/>
          <w:szCs w:val="24"/>
        </w:rPr>
      </w:pPr>
      <w:r>
        <w:rPr>
          <w:rFonts w:ascii="Arial" w:hAnsi="Arial" w:cs="Arial"/>
          <w:szCs w:val="24"/>
        </w:rPr>
        <w:t xml:space="preserve">A 2018 tárgyévről készült </w:t>
      </w:r>
      <w:r w:rsidR="00A41C0E" w:rsidRPr="00A41C0E">
        <w:rPr>
          <w:rFonts w:ascii="Arial" w:hAnsi="Arial" w:cs="Arial"/>
          <w:szCs w:val="24"/>
        </w:rPr>
        <w:t>lakóhelyi környezet állapotáról készült beszámolót elfogadja.</w:t>
      </w:r>
    </w:p>
    <w:p w:rsidR="00A41C0E" w:rsidRPr="00A41C0E" w:rsidRDefault="00A41C0E" w:rsidP="00A41C0E">
      <w:pPr>
        <w:numPr>
          <w:ilvl w:val="0"/>
          <w:numId w:val="22"/>
        </w:numPr>
        <w:overflowPunct w:val="0"/>
        <w:autoSpaceDE w:val="0"/>
        <w:autoSpaceDN w:val="0"/>
        <w:adjustRightInd w:val="0"/>
        <w:spacing w:after="0" w:line="276" w:lineRule="auto"/>
        <w:jc w:val="both"/>
        <w:rPr>
          <w:rFonts w:ascii="Arial" w:hAnsi="Arial" w:cs="Arial"/>
          <w:szCs w:val="24"/>
        </w:rPr>
      </w:pPr>
      <w:r w:rsidRPr="00A41C0E">
        <w:rPr>
          <w:rFonts w:ascii="Arial" w:hAnsi="Arial" w:cs="Arial"/>
          <w:szCs w:val="24"/>
        </w:rPr>
        <w:t>A beszámoló a határozat mellékletét képezi</w:t>
      </w:r>
      <w:r w:rsidR="00BB3277">
        <w:rPr>
          <w:rFonts w:ascii="Arial" w:hAnsi="Arial" w:cs="Arial"/>
          <w:szCs w:val="24"/>
        </w:rPr>
        <w:t>.</w:t>
      </w:r>
    </w:p>
    <w:p w:rsidR="00A41C0E" w:rsidRPr="00A41C0E" w:rsidRDefault="00A41C0E" w:rsidP="00A41C0E">
      <w:pPr>
        <w:spacing w:after="0" w:line="240" w:lineRule="auto"/>
        <w:jc w:val="both"/>
        <w:rPr>
          <w:rFonts w:ascii="Arial" w:eastAsia="Times New Roman" w:hAnsi="Arial" w:cs="Arial"/>
          <w:szCs w:val="24"/>
          <w:lang w:eastAsia="hu-HU"/>
        </w:rPr>
      </w:pPr>
    </w:p>
    <w:p w:rsidR="00A41C0E" w:rsidRPr="00A41C0E" w:rsidRDefault="00A41C0E" w:rsidP="00A41C0E">
      <w:pPr>
        <w:spacing w:after="0" w:line="240" w:lineRule="auto"/>
        <w:rPr>
          <w:rFonts w:ascii="Arial" w:eastAsia="Times New Roman" w:hAnsi="Arial" w:cs="Arial"/>
          <w:szCs w:val="24"/>
          <w:lang w:eastAsia="hu-HU"/>
        </w:rPr>
      </w:pPr>
      <w:r w:rsidRPr="00A41C0E">
        <w:rPr>
          <w:rFonts w:ascii="Arial" w:eastAsia="Times New Roman" w:hAnsi="Arial" w:cs="Arial"/>
          <w:b/>
          <w:szCs w:val="24"/>
          <w:lang w:eastAsia="hu-HU"/>
        </w:rPr>
        <w:t>Határidő:</w:t>
      </w:r>
      <w:r w:rsidRPr="00A41C0E">
        <w:rPr>
          <w:rFonts w:ascii="Arial" w:eastAsia="Times New Roman" w:hAnsi="Arial" w:cs="Arial"/>
          <w:szCs w:val="24"/>
          <w:lang w:eastAsia="hu-HU"/>
        </w:rPr>
        <w:t xml:space="preserve"> 2019.</w:t>
      </w:r>
      <w:r w:rsidR="003F0141">
        <w:rPr>
          <w:rFonts w:ascii="Arial" w:eastAsia="Times New Roman" w:hAnsi="Arial" w:cs="Arial"/>
          <w:szCs w:val="24"/>
          <w:lang w:eastAsia="hu-HU"/>
        </w:rPr>
        <w:t xml:space="preserve"> április</w:t>
      </w:r>
      <w:r w:rsidRPr="00A41C0E">
        <w:rPr>
          <w:rFonts w:ascii="Arial" w:eastAsia="Times New Roman" w:hAnsi="Arial" w:cs="Arial"/>
          <w:szCs w:val="24"/>
          <w:lang w:eastAsia="hu-HU"/>
        </w:rPr>
        <w:t xml:space="preserve"> </w:t>
      </w:r>
      <w:r w:rsidR="003F0141">
        <w:rPr>
          <w:rFonts w:ascii="Arial" w:eastAsia="Times New Roman" w:hAnsi="Arial" w:cs="Arial"/>
          <w:szCs w:val="24"/>
          <w:lang w:eastAsia="hu-HU"/>
        </w:rPr>
        <w:t>8</w:t>
      </w:r>
      <w:r w:rsidRPr="00A41C0E">
        <w:rPr>
          <w:rFonts w:ascii="Arial" w:eastAsia="Times New Roman" w:hAnsi="Arial" w:cs="Arial"/>
          <w:szCs w:val="24"/>
          <w:lang w:eastAsia="hu-HU"/>
        </w:rPr>
        <w:t>.</w:t>
      </w:r>
    </w:p>
    <w:p w:rsidR="00A41C0E" w:rsidRPr="00A41C0E" w:rsidRDefault="00A41C0E" w:rsidP="00A41C0E">
      <w:pPr>
        <w:spacing w:after="0" w:line="240" w:lineRule="auto"/>
        <w:rPr>
          <w:rFonts w:ascii="Arial" w:eastAsia="Times New Roman" w:hAnsi="Arial" w:cs="Arial"/>
          <w:szCs w:val="24"/>
          <w:lang w:eastAsia="hu-HU"/>
        </w:rPr>
      </w:pPr>
    </w:p>
    <w:p w:rsidR="00A41C0E" w:rsidRPr="00A41C0E" w:rsidRDefault="00A41C0E" w:rsidP="00A41C0E">
      <w:pPr>
        <w:spacing w:after="0" w:line="240" w:lineRule="auto"/>
        <w:rPr>
          <w:rFonts w:ascii="Arial" w:eastAsia="Times New Roman" w:hAnsi="Arial" w:cs="Arial"/>
          <w:szCs w:val="24"/>
          <w:lang w:eastAsia="hu-HU"/>
        </w:rPr>
      </w:pPr>
      <w:r w:rsidRPr="00A41C0E">
        <w:rPr>
          <w:rFonts w:ascii="Arial" w:eastAsia="Times New Roman" w:hAnsi="Arial" w:cs="Arial"/>
          <w:b/>
          <w:szCs w:val="24"/>
          <w:lang w:eastAsia="hu-HU"/>
        </w:rPr>
        <w:t xml:space="preserve">Felelős: </w:t>
      </w:r>
      <w:r w:rsidRPr="00A41C0E">
        <w:rPr>
          <w:rFonts w:ascii="Arial" w:eastAsia="Times New Roman" w:hAnsi="Arial" w:cs="Arial"/>
          <w:szCs w:val="24"/>
          <w:lang w:eastAsia="hu-HU"/>
        </w:rPr>
        <w:t>Pergő Margit polgármester</w:t>
      </w:r>
    </w:p>
    <w:p w:rsidR="00B6286A" w:rsidRDefault="00A41C0E" w:rsidP="00A41C0E">
      <w:pPr>
        <w:spacing w:after="0" w:line="240" w:lineRule="auto"/>
        <w:ind w:firstLine="993"/>
        <w:rPr>
          <w:rFonts w:ascii="Arial" w:eastAsia="Times New Roman" w:hAnsi="Arial" w:cs="Arial"/>
          <w:szCs w:val="24"/>
          <w:lang w:eastAsia="hu-HU"/>
        </w:rPr>
      </w:pPr>
      <w:r>
        <w:rPr>
          <w:rFonts w:ascii="Arial" w:eastAsia="Times New Roman" w:hAnsi="Arial" w:cs="Arial"/>
          <w:szCs w:val="24"/>
          <w:lang w:eastAsia="hu-HU"/>
        </w:rPr>
        <w:t>Kovács Zsolt műszaki ügyintéző</w:t>
      </w:r>
    </w:p>
    <w:p w:rsidR="00A94878" w:rsidRDefault="00A94878" w:rsidP="00A41C0E">
      <w:pPr>
        <w:spacing w:after="0" w:line="240" w:lineRule="auto"/>
        <w:ind w:firstLine="993"/>
        <w:rPr>
          <w:rFonts w:ascii="Arial" w:eastAsia="Times New Roman" w:hAnsi="Arial" w:cs="Arial"/>
          <w:szCs w:val="24"/>
          <w:lang w:eastAsia="hu-HU"/>
        </w:rPr>
      </w:pPr>
    </w:p>
    <w:sectPr w:rsidR="00A948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44869" w:rsidRDefault="00944869" w:rsidP="006472A6">
      <w:pPr>
        <w:spacing w:after="0" w:line="240" w:lineRule="auto"/>
      </w:pPr>
      <w:r>
        <w:separator/>
      </w:r>
    </w:p>
  </w:endnote>
  <w:endnote w:type="continuationSeparator" w:id="0">
    <w:p w:rsidR="00944869" w:rsidRDefault="00944869" w:rsidP="006472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HiddenHorzOC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2656185"/>
      <w:docPartObj>
        <w:docPartGallery w:val="Page Numbers (Bottom of Page)"/>
        <w:docPartUnique/>
      </w:docPartObj>
    </w:sdtPr>
    <w:sdtEndPr/>
    <w:sdtContent>
      <w:p w:rsidR="006472A6" w:rsidRDefault="006472A6">
        <w:pPr>
          <w:pStyle w:val="llb"/>
          <w:jc w:val="center"/>
        </w:pPr>
        <w:r>
          <w:fldChar w:fldCharType="begin"/>
        </w:r>
        <w:r>
          <w:instrText>PAGE   \* MERGEFORMAT</w:instrText>
        </w:r>
        <w:r>
          <w:fldChar w:fldCharType="separate"/>
        </w:r>
        <w:r>
          <w:t>2</w:t>
        </w:r>
        <w:r>
          <w:fldChar w:fldCharType="end"/>
        </w:r>
      </w:p>
    </w:sdtContent>
  </w:sdt>
  <w:p w:rsidR="006472A6" w:rsidRDefault="006472A6">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44869" w:rsidRDefault="00944869" w:rsidP="006472A6">
      <w:pPr>
        <w:spacing w:after="0" w:line="240" w:lineRule="auto"/>
      </w:pPr>
      <w:r>
        <w:separator/>
      </w:r>
    </w:p>
  </w:footnote>
  <w:footnote w:type="continuationSeparator" w:id="0">
    <w:p w:rsidR="00944869" w:rsidRDefault="00944869" w:rsidP="006472A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FF4E70"/>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6057C0F"/>
    <w:multiLevelType w:val="multilevel"/>
    <w:tmpl w:val="37D8ECF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1F2A3718"/>
    <w:multiLevelType w:val="hybridMultilevel"/>
    <w:tmpl w:val="E36AED40"/>
    <w:lvl w:ilvl="0" w:tplc="927401B6">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26B07476"/>
    <w:multiLevelType w:val="hybridMultilevel"/>
    <w:tmpl w:val="32F8E4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9027E47"/>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1041195"/>
    <w:multiLevelType w:val="hybridMultilevel"/>
    <w:tmpl w:val="CE2E7AE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3C387527"/>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DD20DD"/>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93D781B"/>
    <w:multiLevelType w:val="hybridMultilevel"/>
    <w:tmpl w:val="FAA2E4EE"/>
    <w:lvl w:ilvl="0" w:tplc="040E000F">
      <w:start w:val="1"/>
      <w:numFmt w:val="decimal"/>
      <w:lvlText w:val="%1."/>
      <w:lvlJc w:val="left"/>
      <w:pPr>
        <w:ind w:left="1785" w:hanging="360"/>
      </w:pPr>
    </w:lvl>
    <w:lvl w:ilvl="1" w:tplc="040E0019" w:tentative="1">
      <w:start w:val="1"/>
      <w:numFmt w:val="lowerLetter"/>
      <w:lvlText w:val="%2."/>
      <w:lvlJc w:val="left"/>
      <w:pPr>
        <w:ind w:left="2505" w:hanging="360"/>
      </w:pPr>
    </w:lvl>
    <w:lvl w:ilvl="2" w:tplc="040E001B" w:tentative="1">
      <w:start w:val="1"/>
      <w:numFmt w:val="lowerRoman"/>
      <w:lvlText w:val="%3."/>
      <w:lvlJc w:val="right"/>
      <w:pPr>
        <w:ind w:left="3225" w:hanging="180"/>
      </w:pPr>
    </w:lvl>
    <w:lvl w:ilvl="3" w:tplc="040E000F" w:tentative="1">
      <w:start w:val="1"/>
      <w:numFmt w:val="decimal"/>
      <w:lvlText w:val="%4."/>
      <w:lvlJc w:val="left"/>
      <w:pPr>
        <w:ind w:left="3945" w:hanging="360"/>
      </w:pPr>
    </w:lvl>
    <w:lvl w:ilvl="4" w:tplc="040E0019" w:tentative="1">
      <w:start w:val="1"/>
      <w:numFmt w:val="lowerLetter"/>
      <w:lvlText w:val="%5."/>
      <w:lvlJc w:val="left"/>
      <w:pPr>
        <w:ind w:left="4665" w:hanging="360"/>
      </w:pPr>
    </w:lvl>
    <w:lvl w:ilvl="5" w:tplc="040E001B" w:tentative="1">
      <w:start w:val="1"/>
      <w:numFmt w:val="lowerRoman"/>
      <w:lvlText w:val="%6."/>
      <w:lvlJc w:val="right"/>
      <w:pPr>
        <w:ind w:left="5385" w:hanging="180"/>
      </w:pPr>
    </w:lvl>
    <w:lvl w:ilvl="6" w:tplc="040E000F" w:tentative="1">
      <w:start w:val="1"/>
      <w:numFmt w:val="decimal"/>
      <w:lvlText w:val="%7."/>
      <w:lvlJc w:val="left"/>
      <w:pPr>
        <w:ind w:left="6105" w:hanging="360"/>
      </w:pPr>
    </w:lvl>
    <w:lvl w:ilvl="7" w:tplc="040E0019" w:tentative="1">
      <w:start w:val="1"/>
      <w:numFmt w:val="lowerLetter"/>
      <w:lvlText w:val="%8."/>
      <w:lvlJc w:val="left"/>
      <w:pPr>
        <w:ind w:left="6825" w:hanging="360"/>
      </w:pPr>
    </w:lvl>
    <w:lvl w:ilvl="8" w:tplc="040E001B" w:tentative="1">
      <w:start w:val="1"/>
      <w:numFmt w:val="lowerRoman"/>
      <w:lvlText w:val="%9."/>
      <w:lvlJc w:val="right"/>
      <w:pPr>
        <w:ind w:left="7545" w:hanging="180"/>
      </w:pPr>
    </w:lvl>
  </w:abstractNum>
  <w:abstractNum w:abstractNumId="9" w15:restartNumberingAfterBreak="0">
    <w:nsid w:val="4FD7244C"/>
    <w:multiLevelType w:val="hybridMultilevel"/>
    <w:tmpl w:val="9B64FA76"/>
    <w:lvl w:ilvl="0" w:tplc="78BEB418">
      <w:start w:val="8181"/>
      <w:numFmt w:val="decimal"/>
      <w:lvlText w:val="%1"/>
      <w:lvlJc w:val="left"/>
      <w:pPr>
        <w:ind w:left="1605" w:hanging="540"/>
      </w:pPr>
      <w:rPr>
        <w:rFonts w:hint="default"/>
      </w:rPr>
    </w:lvl>
    <w:lvl w:ilvl="1" w:tplc="040E0019" w:tentative="1">
      <w:start w:val="1"/>
      <w:numFmt w:val="lowerLetter"/>
      <w:lvlText w:val="%2."/>
      <w:lvlJc w:val="left"/>
      <w:pPr>
        <w:ind w:left="2145" w:hanging="360"/>
      </w:pPr>
    </w:lvl>
    <w:lvl w:ilvl="2" w:tplc="040E001B" w:tentative="1">
      <w:start w:val="1"/>
      <w:numFmt w:val="lowerRoman"/>
      <w:lvlText w:val="%3."/>
      <w:lvlJc w:val="right"/>
      <w:pPr>
        <w:ind w:left="2865" w:hanging="180"/>
      </w:pPr>
    </w:lvl>
    <w:lvl w:ilvl="3" w:tplc="040E000F" w:tentative="1">
      <w:start w:val="1"/>
      <w:numFmt w:val="decimal"/>
      <w:lvlText w:val="%4."/>
      <w:lvlJc w:val="left"/>
      <w:pPr>
        <w:ind w:left="3585" w:hanging="360"/>
      </w:pPr>
    </w:lvl>
    <w:lvl w:ilvl="4" w:tplc="040E0019" w:tentative="1">
      <w:start w:val="1"/>
      <w:numFmt w:val="lowerLetter"/>
      <w:lvlText w:val="%5."/>
      <w:lvlJc w:val="left"/>
      <w:pPr>
        <w:ind w:left="4305" w:hanging="360"/>
      </w:pPr>
    </w:lvl>
    <w:lvl w:ilvl="5" w:tplc="040E001B" w:tentative="1">
      <w:start w:val="1"/>
      <w:numFmt w:val="lowerRoman"/>
      <w:lvlText w:val="%6."/>
      <w:lvlJc w:val="right"/>
      <w:pPr>
        <w:ind w:left="5025" w:hanging="180"/>
      </w:pPr>
    </w:lvl>
    <w:lvl w:ilvl="6" w:tplc="040E000F" w:tentative="1">
      <w:start w:val="1"/>
      <w:numFmt w:val="decimal"/>
      <w:lvlText w:val="%7."/>
      <w:lvlJc w:val="left"/>
      <w:pPr>
        <w:ind w:left="5745" w:hanging="360"/>
      </w:pPr>
    </w:lvl>
    <w:lvl w:ilvl="7" w:tplc="040E0019" w:tentative="1">
      <w:start w:val="1"/>
      <w:numFmt w:val="lowerLetter"/>
      <w:lvlText w:val="%8."/>
      <w:lvlJc w:val="left"/>
      <w:pPr>
        <w:ind w:left="6465" w:hanging="360"/>
      </w:pPr>
    </w:lvl>
    <w:lvl w:ilvl="8" w:tplc="040E001B" w:tentative="1">
      <w:start w:val="1"/>
      <w:numFmt w:val="lowerRoman"/>
      <w:lvlText w:val="%9."/>
      <w:lvlJc w:val="right"/>
      <w:pPr>
        <w:ind w:left="7185" w:hanging="180"/>
      </w:pPr>
    </w:lvl>
  </w:abstractNum>
  <w:abstractNum w:abstractNumId="10" w15:restartNumberingAfterBreak="0">
    <w:nsid w:val="50686073"/>
    <w:multiLevelType w:val="hybridMultilevel"/>
    <w:tmpl w:val="0B0C2276"/>
    <w:lvl w:ilvl="0" w:tplc="FD8EB960">
      <w:start w:val="8181"/>
      <w:numFmt w:val="decimal"/>
      <w:lvlText w:val="%1."/>
      <w:lvlJc w:val="left"/>
      <w:pPr>
        <w:tabs>
          <w:tab w:val="num" w:pos="1065"/>
        </w:tabs>
        <w:ind w:left="1065" w:hanging="630"/>
      </w:pPr>
    </w:lvl>
    <w:lvl w:ilvl="1" w:tplc="040E0019">
      <w:start w:val="1"/>
      <w:numFmt w:val="decimal"/>
      <w:lvlText w:val="%2."/>
      <w:lvlJc w:val="left"/>
      <w:pPr>
        <w:tabs>
          <w:tab w:val="num" w:pos="1440"/>
        </w:tabs>
        <w:ind w:left="1440" w:hanging="360"/>
      </w:pPr>
    </w:lvl>
    <w:lvl w:ilvl="2" w:tplc="040E001B">
      <w:start w:val="1"/>
      <w:numFmt w:val="decimal"/>
      <w:lvlText w:val="%3."/>
      <w:lvlJc w:val="left"/>
      <w:pPr>
        <w:tabs>
          <w:tab w:val="num" w:pos="2160"/>
        </w:tabs>
        <w:ind w:left="2160" w:hanging="360"/>
      </w:pPr>
    </w:lvl>
    <w:lvl w:ilvl="3" w:tplc="040E000F">
      <w:start w:val="1"/>
      <w:numFmt w:val="decimal"/>
      <w:lvlText w:val="%4."/>
      <w:lvlJc w:val="left"/>
      <w:pPr>
        <w:tabs>
          <w:tab w:val="num" w:pos="2880"/>
        </w:tabs>
        <w:ind w:left="2880" w:hanging="360"/>
      </w:pPr>
    </w:lvl>
    <w:lvl w:ilvl="4" w:tplc="040E0019">
      <w:start w:val="1"/>
      <w:numFmt w:val="decimal"/>
      <w:lvlText w:val="%5."/>
      <w:lvlJc w:val="left"/>
      <w:pPr>
        <w:tabs>
          <w:tab w:val="num" w:pos="3600"/>
        </w:tabs>
        <w:ind w:left="3600" w:hanging="360"/>
      </w:pPr>
    </w:lvl>
    <w:lvl w:ilvl="5" w:tplc="040E001B">
      <w:start w:val="1"/>
      <w:numFmt w:val="decimal"/>
      <w:lvlText w:val="%6."/>
      <w:lvlJc w:val="left"/>
      <w:pPr>
        <w:tabs>
          <w:tab w:val="num" w:pos="4320"/>
        </w:tabs>
        <w:ind w:left="4320" w:hanging="360"/>
      </w:pPr>
    </w:lvl>
    <w:lvl w:ilvl="6" w:tplc="040E000F">
      <w:start w:val="1"/>
      <w:numFmt w:val="decimal"/>
      <w:lvlText w:val="%7."/>
      <w:lvlJc w:val="left"/>
      <w:pPr>
        <w:tabs>
          <w:tab w:val="num" w:pos="5040"/>
        </w:tabs>
        <w:ind w:left="5040" w:hanging="360"/>
      </w:pPr>
    </w:lvl>
    <w:lvl w:ilvl="7" w:tplc="040E0019">
      <w:start w:val="1"/>
      <w:numFmt w:val="decimal"/>
      <w:lvlText w:val="%8."/>
      <w:lvlJc w:val="left"/>
      <w:pPr>
        <w:tabs>
          <w:tab w:val="num" w:pos="5760"/>
        </w:tabs>
        <w:ind w:left="5760" w:hanging="360"/>
      </w:pPr>
    </w:lvl>
    <w:lvl w:ilvl="8" w:tplc="040E001B">
      <w:start w:val="1"/>
      <w:numFmt w:val="decimal"/>
      <w:lvlText w:val="%9."/>
      <w:lvlJc w:val="left"/>
      <w:pPr>
        <w:tabs>
          <w:tab w:val="num" w:pos="6480"/>
        </w:tabs>
        <w:ind w:left="6480" w:hanging="360"/>
      </w:pPr>
    </w:lvl>
  </w:abstractNum>
  <w:abstractNum w:abstractNumId="11" w15:restartNumberingAfterBreak="0">
    <w:nsid w:val="591A7D59"/>
    <w:multiLevelType w:val="hybridMultilevel"/>
    <w:tmpl w:val="48D6CA3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2" w15:restartNumberingAfterBreak="0">
    <w:nsid w:val="60E152E5"/>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3197F6F"/>
    <w:multiLevelType w:val="hybridMultilevel"/>
    <w:tmpl w:val="44F6FEEE"/>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66115E52"/>
    <w:multiLevelType w:val="hybridMultilevel"/>
    <w:tmpl w:val="842C2E4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683806B4"/>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86E0834"/>
    <w:multiLevelType w:val="hybridMultilevel"/>
    <w:tmpl w:val="3490F97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68FA047D"/>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B002CC6"/>
    <w:multiLevelType w:val="hybridMultilevel"/>
    <w:tmpl w:val="D660A41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9" w15:restartNumberingAfterBreak="0">
    <w:nsid w:val="72EC2ACB"/>
    <w:multiLevelType w:val="hybridMultilevel"/>
    <w:tmpl w:val="70D07C72"/>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742A47E5"/>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10"/>
    <w:lvlOverride w:ilvl="0">
      <w:startOverride w:val="818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8"/>
  </w:num>
  <w:num w:numId="5">
    <w:abstractNumId w:val="9"/>
  </w:num>
  <w:num w:numId="6">
    <w:abstractNumId w:val="6"/>
  </w:num>
  <w:num w:numId="7">
    <w:abstractNumId w:val="16"/>
  </w:num>
  <w:num w:numId="8">
    <w:abstractNumId w:val="12"/>
  </w:num>
  <w:num w:numId="9">
    <w:abstractNumId w:val="0"/>
  </w:num>
  <w:num w:numId="10">
    <w:abstractNumId w:val="17"/>
  </w:num>
  <w:num w:numId="11">
    <w:abstractNumId w:val="7"/>
  </w:num>
  <w:num w:numId="12">
    <w:abstractNumId w:val="13"/>
  </w:num>
  <w:num w:numId="13">
    <w:abstractNumId w:val="19"/>
  </w:num>
  <w:num w:numId="14">
    <w:abstractNumId w:val="18"/>
  </w:num>
  <w:num w:numId="15">
    <w:abstractNumId w:val="11"/>
  </w:num>
  <w:num w:numId="16">
    <w:abstractNumId w:val="20"/>
  </w:num>
  <w:num w:numId="17">
    <w:abstractNumId w:val="4"/>
  </w:num>
  <w:num w:numId="18">
    <w:abstractNumId w:val="15"/>
  </w:num>
  <w:num w:numId="19">
    <w:abstractNumId w:val="2"/>
  </w:num>
  <w:num w:numId="20">
    <w:abstractNumId w:val="14"/>
  </w:num>
  <w:num w:numId="21">
    <w:abstractNumId w:val="3"/>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71C2"/>
    <w:rsid w:val="0000206A"/>
    <w:rsid w:val="00032ED4"/>
    <w:rsid w:val="000B2DA0"/>
    <w:rsid w:val="000B3C69"/>
    <w:rsid w:val="00107AB3"/>
    <w:rsid w:val="001D6C0E"/>
    <w:rsid w:val="002725F8"/>
    <w:rsid w:val="00363F27"/>
    <w:rsid w:val="0037408F"/>
    <w:rsid w:val="00390EC9"/>
    <w:rsid w:val="003D67B6"/>
    <w:rsid w:val="003F0141"/>
    <w:rsid w:val="004F5103"/>
    <w:rsid w:val="005240F5"/>
    <w:rsid w:val="00567C2F"/>
    <w:rsid w:val="00577D2C"/>
    <w:rsid w:val="00580101"/>
    <w:rsid w:val="00585035"/>
    <w:rsid w:val="00601388"/>
    <w:rsid w:val="00633551"/>
    <w:rsid w:val="006472A6"/>
    <w:rsid w:val="00664285"/>
    <w:rsid w:val="006A2ED5"/>
    <w:rsid w:val="006C6328"/>
    <w:rsid w:val="007071C2"/>
    <w:rsid w:val="00766D8C"/>
    <w:rsid w:val="007832A6"/>
    <w:rsid w:val="007B1161"/>
    <w:rsid w:val="007F479B"/>
    <w:rsid w:val="007F68B7"/>
    <w:rsid w:val="008446F5"/>
    <w:rsid w:val="00867FD1"/>
    <w:rsid w:val="008A6FCF"/>
    <w:rsid w:val="008C2EBC"/>
    <w:rsid w:val="008F7146"/>
    <w:rsid w:val="00922A17"/>
    <w:rsid w:val="00944869"/>
    <w:rsid w:val="009665EC"/>
    <w:rsid w:val="00A41C0E"/>
    <w:rsid w:val="00A64C6E"/>
    <w:rsid w:val="00A94878"/>
    <w:rsid w:val="00AD2BDF"/>
    <w:rsid w:val="00AE1BA9"/>
    <w:rsid w:val="00B60D6C"/>
    <w:rsid w:val="00B6286A"/>
    <w:rsid w:val="00BB3277"/>
    <w:rsid w:val="00BE2890"/>
    <w:rsid w:val="00C11142"/>
    <w:rsid w:val="00C24B4A"/>
    <w:rsid w:val="00D227ED"/>
    <w:rsid w:val="00D409BB"/>
    <w:rsid w:val="00D73634"/>
    <w:rsid w:val="00DA0A70"/>
    <w:rsid w:val="00DC7FF5"/>
    <w:rsid w:val="00E30ABD"/>
    <w:rsid w:val="00E91A95"/>
    <w:rsid w:val="00EB5ED1"/>
    <w:rsid w:val="00ED021C"/>
    <w:rsid w:val="00F63132"/>
    <w:rsid w:val="00F63E2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3F7C68"/>
  <w15:chartTrackingRefBased/>
  <w15:docId w15:val="{60816737-2F1D-4E71-AABF-A62501196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7071C2"/>
    <w:rPr>
      <w:rFonts w:ascii="Times New Roman" w:hAnsi="Times New Roman" w:cstheme="minorHAnsi"/>
      <w:sz w:val="24"/>
    </w:rPr>
  </w:style>
  <w:style w:type="paragraph" w:styleId="Cmsor2">
    <w:name w:val="heading 2"/>
    <w:basedOn w:val="Norml"/>
    <w:link w:val="Cmsor2Char"/>
    <w:uiPriority w:val="9"/>
    <w:qFormat/>
    <w:rsid w:val="007071C2"/>
    <w:pPr>
      <w:spacing w:before="100" w:beforeAutospacing="1" w:after="100" w:afterAutospacing="1" w:line="240" w:lineRule="auto"/>
      <w:outlineLvl w:val="1"/>
    </w:pPr>
    <w:rPr>
      <w:rFonts w:eastAsia="Times New Roman" w:cs="Times New Roman"/>
      <w:b/>
      <w:bCs/>
      <w:sz w:val="36"/>
      <w:szCs w:val="36"/>
      <w:lang w:eastAsia="hu-HU"/>
    </w:rPr>
  </w:style>
  <w:style w:type="paragraph" w:styleId="Cmsor3">
    <w:name w:val="heading 3"/>
    <w:basedOn w:val="Norml"/>
    <w:next w:val="Norml"/>
    <w:link w:val="Cmsor3Char"/>
    <w:uiPriority w:val="9"/>
    <w:semiHidden/>
    <w:unhideWhenUsed/>
    <w:qFormat/>
    <w:rsid w:val="007071C2"/>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Cmsor4">
    <w:name w:val="heading 4"/>
    <w:basedOn w:val="Norml"/>
    <w:next w:val="Norml"/>
    <w:link w:val="Cmsor4Char"/>
    <w:uiPriority w:val="9"/>
    <w:semiHidden/>
    <w:unhideWhenUsed/>
    <w:qFormat/>
    <w:rsid w:val="007071C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
    <w:rsid w:val="007071C2"/>
    <w:rPr>
      <w:rFonts w:ascii="Times New Roman" w:eastAsia="Times New Roman" w:hAnsi="Times New Roman" w:cs="Times New Roman"/>
      <w:b/>
      <w:bCs/>
      <w:sz w:val="36"/>
      <w:szCs w:val="36"/>
      <w:lang w:eastAsia="hu-HU"/>
    </w:rPr>
  </w:style>
  <w:style w:type="character" w:customStyle="1" w:styleId="Cmsor3Char">
    <w:name w:val="Címsor 3 Char"/>
    <w:basedOn w:val="Bekezdsalapbettpusa"/>
    <w:link w:val="Cmsor3"/>
    <w:uiPriority w:val="9"/>
    <w:semiHidden/>
    <w:rsid w:val="007071C2"/>
    <w:rPr>
      <w:rFonts w:asciiTheme="majorHAnsi" w:eastAsiaTheme="majorEastAsia" w:hAnsiTheme="majorHAnsi" w:cstheme="majorBidi"/>
      <w:color w:val="1F3763" w:themeColor="accent1" w:themeShade="7F"/>
      <w:sz w:val="24"/>
      <w:szCs w:val="24"/>
    </w:rPr>
  </w:style>
  <w:style w:type="character" w:customStyle="1" w:styleId="Cmsor4Char">
    <w:name w:val="Címsor 4 Char"/>
    <w:basedOn w:val="Bekezdsalapbettpusa"/>
    <w:link w:val="Cmsor4"/>
    <w:uiPriority w:val="9"/>
    <w:semiHidden/>
    <w:rsid w:val="007071C2"/>
    <w:rPr>
      <w:rFonts w:asciiTheme="majorHAnsi" w:eastAsiaTheme="majorEastAsia" w:hAnsiTheme="majorHAnsi" w:cstheme="majorBidi"/>
      <w:i/>
      <w:iCs/>
      <w:color w:val="2F5496" w:themeColor="accent1" w:themeShade="BF"/>
      <w:sz w:val="24"/>
    </w:rPr>
  </w:style>
  <w:style w:type="paragraph" w:styleId="NormlWeb">
    <w:name w:val="Normal (Web)"/>
    <w:basedOn w:val="Norml"/>
    <w:uiPriority w:val="99"/>
    <w:semiHidden/>
    <w:unhideWhenUsed/>
    <w:rsid w:val="007071C2"/>
    <w:pPr>
      <w:spacing w:before="100" w:beforeAutospacing="1" w:after="100" w:afterAutospacing="1" w:line="240" w:lineRule="auto"/>
    </w:pPr>
    <w:rPr>
      <w:rFonts w:eastAsia="Times New Roman" w:cs="Times New Roman"/>
      <w:szCs w:val="24"/>
      <w:lang w:eastAsia="hu-HU"/>
    </w:rPr>
  </w:style>
  <w:style w:type="character" w:styleId="Kiemels2">
    <w:name w:val="Strong"/>
    <w:basedOn w:val="Bekezdsalapbettpusa"/>
    <w:uiPriority w:val="22"/>
    <w:qFormat/>
    <w:rsid w:val="007071C2"/>
    <w:rPr>
      <w:b/>
      <w:bCs/>
    </w:rPr>
  </w:style>
  <w:style w:type="character" w:styleId="Hiperhivatkozs">
    <w:name w:val="Hyperlink"/>
    <w:basedOn w:val="Bekezdsalapbettpusa"/>
    <w:uiPriority w:val="99"/>
    <w:semiHidden/>
    <w:unhideWhenUsed/>
    <w:rsid w:val="007071C2"/>
    <w:rPr>
      <w:color w:val="0000FF"/>
      <w:u w:val="single"/>
    </w:rPr>
  </w:style>
  <w:style w:type="character" w:styleId="Kiemels">
    <w:name w:val="Emphasis"/>
    <w:basedOn w:val="Bekezdsalapbettpusa"/>
    <w:uiPriority w:val="20"/>
    <w:qFormat/>
    <w:rsid w:val="007071C2"/>
    <w:rPr>
      <w:i/>
      <w:iCs/>
    </w:rPr>
  </w:style>
  <w:style w:type="paragraph" w:customStyle="1" w:styleId="lead">
    <w:name w:val="lead"/>
    <w:basedOn w:val="Norml"/>
    <w:rsid w:val="007071C2"/>
    <w:pPr>
      <w:spacing w:before="100" w:beforeAutospacing="1" w:after="100" w:afterAutospacing="1" w:line="240" w:lineRule="auto"/>
    </w:pPr>
    <w:rPr>
      <w:rFonts w:eastAsia="Times New Roman" w:cs="Times New Roman"/>
      <w:szCs w:val="24"/>
      <w:lang w:eastAsia="hu-HU"/>
    </w:rPr>
  </w:style>
  <w:style w:type="paragraph" w:customStyle="1" w:styleId="bp">
    <w:name w:val="bp"/>
    <w:basedOn w:val="Norml"/>
    <w:rsid w:val="007071C2"/>
    <w:pPr>
      <w:spacing w:before="100" w:beforeAutospacing="1" w:after="100" w:afterAutospacing="1" w:line="240" w:lineRule="auto"/>
    </w:pPr>
    <w:rPr>
      <w:rFonts w:eastAsia="Times New Roman" w:cs="Times New Roman"/>
      <w:szCs w:val="24"/>
      <w:lang w:eastAsia="hu-HU"/>
    </w:rPr>
  </w:style>
  <w:style w:type="character" w:customStyle="1" w:styleId="nowrap">
    <w:name w:val="nowrap"/>
    <w:basedOn w:val="Bekezdsalapbettpusa"/>
    <w:rsid w:val="007071C2"/>
  </w:style>
  <w:style w:type="paragraph" w:customStyle="1" w:styleId="table-title">
    <w:name w:val="table-title"/>
    <w:basedOn w:val="Norml"/>
    <w:rsid w:val="007071C2"/>
    <w:pPr>
      <w:spacing w:before="100" w:beforeAutospacing="1" w:after="100" w:afterAutospacing="1" w:line="240" w:lineRule="auto"/>
    </w:pPr>
    <w:rPr>
      <w:rFonts w:eastAsia="Times New Roman" w:cs="Times New Roman"/>
      <w:szCs w:val="24"/>
      <w:lang w:eastAsia="hu-HU"/>
    </w:rPr>
  </w:style>
  <w:style w:type="paragraph" w:customStyle="1" w:styleId="table-notes">
    <w:name w:val="table-notes"/>
    <w:basedOn w:val="Norml"/>
    <w:rsid w:val="007071C2"/>
    <w:pPr>
      <w:spacing w:before="100" w:beforeAutospacing="1" w:after="100" w:afterAutospacing="1" w:line="240" w:lineRule="auto"/>
    </w:pPr>
    <w:rPr>
      <w:rFonts w:eastAsia="Times New Roman" w:cs="Times New Roman"/>
      <w:szCs w:val="24"/>
      <w:lang w:eastAsia="hu-HU"/>
    </w:rPr>
  </w:style>
  <w:style w:type="paragraph" w:styleId="Szvegtrzs">
    <w:name w:val="Body Text"/>
    <w:basedOn w:val="Norml"/>
    <w:link w:val="SzvegtrzsChar"/>
    <w:rsid w:val="007071C2"/>
    <w:pPr>
      <w:overflowPunct w:val="0"/>
      <w:autoSpaceDE w:val="0"/>
      <w:autoSpaceDN w:val="0"/>
      <w:adjustRightInd w:val="0"/>
      <w:spacing w:after="120" w:line="240" w:lineRule="auto"/>
    </w:pPr>
    <w:rPr>
      <w:rFonts w:eastAsia="Calibri" w:cs="Times New Roman"/>
      <w:szCs w:val="20"/>
      <w:lang w:eastAsia="hu-HU"/>
    </w:rPr>
  </w:style>
  <w:style w:type="character" w:customStyle="1" w:styleId="SzvegtrzsChar">
    <w:name w:val="Szövegtörzs Char"/>
    <w:basedOn w:val="Bekezdsalapbettpusa"/>
    <w:link w:val="Szvegtrzs"/>
    <w:rsid w:val="007071C2"/>
    <w:rPr>
      <w:rFonts w:ascii="Times New Roman" w:eastAsia="Calibri" w:hAnsi="Times New Roman" w:cs="Times New Roman"/>
      <w:sz w:val="24"/>
      <w:szCs w:val="20"/>
      <w:lang w:eastAsia="hu-HU"/>
    </w:rPr>
  </w:style>
  <w:style w:type="paragraph" w:styleId="Listaszerbekezds">
    <w:name w:val="List Paragraph"/>
    <w:basedOn w:val="Norml"/>
    <w:uiPriority w:val="34"/>
    <w:qFormat/>
    <w:rsid w:val="007071C2"/>
    <w:pPr>
      <w:ind w:left="720"/>
      <w:contextualSpacing/>
    </w:pPr>
  </w:style>
  <w:style w:type="paragraph" w:styleId="Nincstrkz">
    <w:name w:val="No Spacing"/>
    <w:uiPriority w:val="1"/>
    <w:qFormat/>
    <w:rsid w:val="007071C2"/>
    <w:pPr>
      <w:spacing w:after="0" w:line="240" w:lineRule="auto"/>
    </w:pPr>
    <w:rPr>
      <w:rFonts w:ascii="Times New Roman" w:hAnsi="Times New Roman" w:cstheme="minorHAnsi"/>
      <w:sz w:val="24"/>
    </w:rPr>
  </w:style>
  <w:style w:type="paragraph" w:styleId="lfej">
    <w:name w:val="header"/>
    <w:basedOn w:val="Norml"/>
    <w:link w:val="lfejChar"/>
    <w:uiPriority w:val="99"/>
    <w:rsid w:val="007071C2"/>
    <w:pPr>
      <w:tabs>
        <w:tab w:val="center" w:pos="4536"/>
        <w:tab w:val="right" w:pos="9072"/>
      </w:tabs>
      <w:spacing w:after="0" w:line="240" w:lineRule="auto"/>
    </w:pPr>
    <w:rPr>
      <w:rFonts w:ascii="Arial" w:eastAsia="Times New Roman" w:hAnsi="Arial" w:cs="Times New Roman"/>
      <w:szCs w:val="20"/>
      <w:lang w:eastAsia="hu-HU"/>
    </w:rPr>
  </w:style>
  <w:style w:type="character" w:customStyle="1" w:styleId="lfejChar">
    <w:name w:val="Élőfej Char"/>
    <w:basedOn w:val="Bekezdsalapbettpusa"/>
    <w:link w:val="lfej"/>
    <w:uiPriority w:val="99"/>
    <w:rsid w:val="007071C2"/>
    <w:rPr>
      <w:rFonts w:ascii="Arial" w:eastAsia="Times New Roman" w:hAnsi="Arial" w:cs="Times New Roman"/>
      <w:sz w:val="24"/>
      <w:szCs w:val="20"/>
      <w:lang w:eastAsia="hu-HU"/>
    </w:rPr>
  </w:style>
  <w:style w:type="paragraph" w:styleId="Buborkszveg">
    <w:name w:val="Balloon Text"/>
    <w:basedOn w:val="Norml"/>
    <w:link w:val="BuborkszvegChar"/>
    <w:uiPriority w:val="99"/>
    <w:semiHidden/>
    <w:unhideWhenUsed/>
    <w:rsid w:val="007071C2"/>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071C2"/>
    <w:rPr>
      <w:rFonts w:ascii="Segoe UI" w:hAnsi="Segoe UI" w:cs="Segoe UI"/>
      <w:sz w:val="18"/>
      <w:szCs w:val="18"/>
    </w:rPr>
  </w:style>
  <w:style w:type="paragraph" w:customStyle="1" w:styleId="msonormal0">
    <w:name w:val="msonormal"/>
    <w:basedOn w:val="Norml"/>
    <w:rsid w:val="007071C2"/>
    <w:pPr>
      <w:spacing w:before="100" w:beforeAutospacing="1" w:after="100" w:afterAutospacing="1" w:line="240" w:lineRule="auto"/>
    </w:pPr>
    <w:rPr>
      <w:rFonts w:eastAsia="Times New Roman" w:cs="Times New Roman"/>
      <w:szCs w:val="24"/>
      <w:lang w:eastAsia="hu-HU"/>
    </w:rPr>
  </w:style>
  <w:style w:type="paragraph" w:customStyle="1" w:styleId="font0">
    <w:name w:val="font0"/>
    <w:basedOn w:val="Norml"/>
    <w:rsid w:val="007071C2"/>
    <w:pPr>
      <w:spacing w:before="100" w:beforeAutospacing="1" w:after="100" w:afterAutospacing="1" w:line="240" w:lineRule="auto"/>
    </w:pPr>
    <w:rPr>
      <w:rFonts w:eastAsia="Times New Roman" w:cs="Times New Roman"/>
      <w:color w:val="000000"/>
      <w:sz w:val="22"/>
      <w:lang w:eastAsia="hu-HU"/>
    </w:rPr>
  </w:style>
  <w:style w:type="paragraph" w:customStyle="1" w:styleId="font5">
    <w:name w:val="font5"/>
    <w:basedOn w:val="Norml"/>
    <w:rsid w:val="007071C2"/>
    <w:pPr>
      <w:spacing w:before="100" w:beforeAutospacing="1" w:after="100" w:afterAutospacing="1" w:line="240" w:lineRule="auto"/>
    </w:pPr>
    <w:rPr>
      <w:rFonts w:eastAsia="Times New Roman" w:cs="Times New Roman"/>
      <w:b/>
      <w:bCs/>
      <w:color w:val="000000"/>
      <w:sz w:val="22"/>
      <w:lang w:eastAsia="hu-HU"/>
    </w:rPr>
  </w:style>
  <w:style w:type="paragraph" w:customStyle="1" w:styleId="xl63">
    <w:name w:val="xl63"/>
    <w:basedOn w:val="Norml"/>
    <w:rsid w:val="007071C2"/>
    <w:pPr>
      <w:spacing w:before="100" w:beforeAutospacing="1" w:after="100" w:afterAutospacing="1" w:line="240" w:lineRule="auto"/>
      <w:jc w:val="center"/>
      <w:textAlignment w:val="center"/>
    </w:pPr>
    <w:rPr>
      <w:rFonts w:eastAsia="Times New Roman" w:cs="Times New Roman"/>
      <w:b/>
      <w:bCs/>
      <w:szCs w:val="24"/>
      <w:lang w:eastAsia="hu-HU"/>
    </w:rPr>
  </w:style>
  <w:style w:type="paragraph" w:customStyle="1" w:styleId="xl64">
    <w:name w:val="xl64"/>
    <w:basedOn w:val="Norml"/>
    <w:rsid w:val="007071C2"/>
    <w:pPr>
      <w:spacing w:before="100" w:beforeAutospacing="1" w:after="100" w:afterAutospacing="1" w:line="240" w:lineRule="auto"/>
      <w:textAlignment w:val="center"/>
    </w:pPr>
    <w:rPr>
      <w:rFonts w:eastAsia="Times New Roman" w:cs="Times New Roman"/>
      <w:szCs w:val="24"/>
      <w:lang w:eastAsia="hu-HU"/>
    </w:rPr>
  </w:style>
  <w:style w:type="paragraph" w:customStyle="1" w:styleId="xl65">
    <w:name w:val="xl65"/>
    <w:basedOn w:val="Norml"/>
    <w:rsid w:val="007071C2"/>
    <w:pPr>
      <w:spacing w:before="100" w:beforeAutospacing="1" w:after="100" w:afterAutospacing="1" w:line="240" w:lineRule="auto"/>
      <w:textAlignment w:val="center"/>
    </w:pPr>
    <w:rPr>
      <w:rFonts w:eastAsia="Times New Roman" w:cs="Times New Roman"/>
      <w:szCs w:val="24"/>
      <w:lang w:eastAsia="hu-HU"/>
    </w:rPr>
  </w:style>
  <w:style w:type="paragraph" w:styleId="llb">
    <w:name w:val="footer"/>
    <w:basedOn w:val="Norml"/>
    <w:link w:val="llbChar"/>
    <w:uiPriority w:val="99"/>
    <w:unhideWhenUsed/>
    <w:rsid w:val="006472A6"/>
    <w:pPr>
      <w:tabs>
        <w:tab w:val="center" w:pos="4536"/>
        <w:tab w:val="right" w:pos="9072"/>
      </w:tabs>
      <w:spacing w:after="0" w:line="240" w:lineRule="auto"/>
    </w:pPr>
  </w:style>
  <w:style w:type="character" w:customStyle="1" w:styleId="llbChar">
    <w:name w:val="Élőláb Char"/>
    <w:basedOn w:val="Bekezdsalapbettpusa"/>
    <w:link w:val="llb"/>
    <w:uiPriority w:val="99"/>
    <w:rsid w:val="006472A6"/>
    <w:rPr>
      <w:rFonts w:ascii="Times New Roman" w:hAnsi="Times New Roman" w:cs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5783510">
      <w:bodyDiv w:val="1"/>
      <w:marLeft w:val="0"/>
      <w:marRight w:val="0"/>
      <w:marTop w:val="0"/>
      <w:marBottom w:val="0"/>
      <w:divBdr>
        <w:top w:val="none" w:sz="0" w:space="0" w:color="auto"/>
        <w:left w:val="none" w:sz="0" w:space="0" w:color="auto"/>
        <w:bottom w:val="none" w:sz="0" w:space="0" w:color="auto"/>
        <w:right w:val="none" w:sz="0" w:space="0" w:color="auto"/>
      </w:divBdr>
    </w:div>
    <w:div w:id="813067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chart" Target="charts/chart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Berhida1\Documents\El&#337;terjeszt&#233;sek%202019\Berhida%20-%20K&#246;rnyezeti%20&#225;llapot&#225;nak%20besz&#225;mol&#243;ja%202019\Adatok%20V&#225;rpalota%20-%20aut&#243;mata%20m&#233;r&#337;&#225;llom&#225;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Munkaf&#252;zet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a:t>Várpalotai automata mérőállomás légszennyezettségi adatai 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lineChart>
        <c:grouping val="standard"/>
        <c:varyColors val="0"/>
        <c:ser>
          <c:idx val="0"/>
          <c:order val="0"/>
          <c:tx>
            <c:strRef>
              <c:f>'Várpalotai mérőállomás'!$B$4</c:f>
              <c:strCache>
                <c:ptCount val="1"/>
                <c:pt idx="0">
                  <c:v>SO2 (ug/m3)</c:v>
                </c:pt>
              </c:strCache>
            </c:strRef>
          </c:tx>
          <c:spPr>
            <a:ln w="28575" cap="rnd">
              <a:solidFill>
                <a:schemeClr val="accent1"/>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mérőállomás'!$B$5:$B$369</c:f>
              <c:numCache>
                <c:formatCode>General</c:formatCode>
                <c:ptCount val="36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4.3</c:v>
                </c:pt>
                <c:pt idx="101">
                  <c:v>4.3</c:v>
                </c:pt>
                <c:pt idx="102">
                  <c:v>4.3</c:v>
                </c:pt>
                <c:pt idx="103">
                  <c:v>4.3</c:v>
                </c:pt>
                <c:pt idx="104">
                  <c:v>4.3</c:v>
                </c:pt>
                <c:pt idx="105">
                  <c:v>4.3</c:v>
                </c:pt>
                <c:pt idx="106">
                  <c:v>4.3</c:v>
                </c:pt>
                <c:pt idx="107">
                  <c:v>4.3</c:v>
                </c:pt>
                <c:pt idx="108">
                  <c:v>4.3</c:v>
                </c:pt>
                <c:pt idx="109">
                  <c:v>4.3</c:v>
                </c:pt>
                <c:pt idx="110">
                  <c:v>4.3</c:v>
                </c:pt>
                <c:pt idx="111">
                  <c:v>4.3</c:v>
                </c:pt>
                <c:pt idx="112">
                  <c:v>4.3</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0.1</c:v>
                </c:pt>
                <c:pt idx="177">
                  <c:v>0.1</c:v>
                </c:pt>
                <c:pt idx="178">
                  <c:v>0.1</c:v>
                </c:pt>
                <c:pt idx="179">
                  <c:v>0.1</c:v>
                </c:pt>
                <c:pt idx="180">
                  <c:v>0.1</c:v>
                </c:pt>
                <c:pt idx="181">
                  <c:v>0.1</c:v>
                </c:pt>
                <c:pt idx="182">
                  <c:v>0.1</c:v>
                </c:pt>
                <c:pt idx="183">
                  <c:v>0.1</c:v>
                </c:pt>
                <c:pt idx="184">
                  <c:v>0.1</c:v>
                </c:pt>
                <c:pt idx="185">
                  <c:v>0.1</c:v>
                </c:pt>
                <c:pt idx="186">
                  <c:v>0.1</c:v>
                </c:pt>
                <c:pt idx="187">
                  <c:v>0.1</c:v>
                </c:pt>
                <c:pt idx="188">
                  <c:v>0.1</c:v>
                </c:pt>
                <c:pt idx="189">
                  <c:v>0.1</c:v>
                </c:pt>
                <c:pt idx="190">
                  <c:v>0.1</c:v>
                </c:pt>
                <c:pt idx="191">
                  <c:v>0.1</c:v>
                </c:pt>
                <c:pt idx="192">
                  <c:v>0.1</c:v>
                </c:pt>
                <c:pt idx="193">
                  <c:v>0.1</c:v>
                </c:pt>
                <c:pt idx="194">
                  <c:v>0.1</c:v>
                </c:pt>
                <c:pt idx="195">
                  <c:v>0.1</c:v>
                </c:pt>
                <c:pt idx="196">
                  <c:v>0.1</c:v>
                </c:pt>
                <c:pt idx="197">
                  <c:v>0.1</c:v>
                </c:pt>
                <c:pt idx="198">
                  <c:v>0.1</c:v>
                </c:pt>
                <c:pt idx="199">
                  <c:v>0.1</c:v>
                </c:pt>
                <c:pt idx="200">
                  <c:v>0.1</c:v>
                </c:pt>
                <c:pt idx="201">
                  <c:v>0.1</c:v>
                </c:pt>
                <c:pt idx="202">
                  <c:v>0.1</c:v>
                </c:pt>
                <c:pt idx="203">
                  <c:v>0.1</c:v>
                </c:pt>
                <c:pt idx="204">
                  <c:v>0.1</c:v>
                </c:pt>
                <c:pt idx="205">
                  <c:v>0.1</c:v>
                </c:pt>
                <c:pt idx="206">
                  <c:v>0.1</c:v>
                </c:pt>
                <c:pt idx="207">
                  <c:v>0.1</c:v>
                </c:pt>
                <c:pt idx="208">
                  <c:v>0.1</c:v>
                </c:pt>
                <c:pt idx="209">
                  <c:v>0.1</c:v>
                </c:pt>
                <c:pt idx="210">
                  <c:v>0.1</c:v>
                </c:pt>
                <c:pt idx="211">
                  <c:v>0.1</c:v>
                </c:pt>
                <c:pt idx="212">
                  <c:v>1.9</c:v>
                </c:pt>
                <c:pt idx="213">
                  <c:v>0.7</c:v>
                </c:pt>
                <c:pt idx="214">
                  <c:v>0.9</c:v>
                </c:pt>
                <c:pt idx="215">
                  <c:v>0.7</c:v>
                </c:pt>
                <c:pt idx="216">
                  <c:v>0.5</c:v>
                </c:pt>
                <c:pt idx="217">
                  <c:v>1</c:v>
                </c:pt>
                <c:pt idx="218">
                  <c:v>1.8</c:v>
                </c:pt>
                <c:pt idx="219">
                  <c:v>1.9</c:v>
                </c:pt>
                <c:pt idx="220">
                  <c:v>1.9</c:v>
                </c:pt>
                <c:pt idx="221">
                  <c:v>1.8</c:v>
                </c:pt>
                <c:pt idx="222">
                  <c:v>0.9</c:v>
                </c:pt>
                <c:pt idx="223">
                  <c:v>0.8</c:v>
                </c:pt>
                <c:pt idx="224">
                  <c:v>2.2000000000000002</c:v>
                </c:pt>
                <c:pt idx="225">
                  <c:v>0.7</c:v>
                </c:pt>
                <c:pt idx="226">
                  <c:v>0.6</c:v>
                </c:pt>
                <c:pt idx="227">
                  <c:v>0.6</c:v>
                </c:pt>
                <c:pt idx="228">
                  <c:v>0.8</c:v>
                </c:pt>
                <c:pt idx="229">
                  <c:v>0.7</c:v>
                </c:pt>
                <c:pt idx="230">
                  <c:v>0.7</c:v>
                </c:pt>
                <c:pt idx="231">
                  <c:v>0.8</c:v>
                </c:pt>
                <c:pt idx="232">
                  <c:v>0.9</c:v>
                </c:pt>
                <c:pt idx="233">
                  <c:v>1</c:v>
                </c:pt>
                <c:pt idx="234">
                  <c:v>0.9</c:v>
                </c:pt>
                <c:pt idx="235">
                  <c:v>2.1</c:v>
                </c:pt>
                <c:pt idx="236">
                  <c:v>0.5</c:v>
                </c:pt>
                <c:pt idx="237">
                  <c:v>0.4</c:v>
                </c:pt>
                <c:pt idx="238">
                  <c:v>0.6</c:v>
                </c:pt>
                <c:pt idx="239">
                  <c:v>0.6</c:v>
                </c:pt>
                <c:pt idx="240">
                  <c:v>0.7</c:v>
                </c:pt>
                <c:pt idx="241">
                  <c:v>0.7</c:v>
                </c:pt>
                <c:pt idx="242">
                  <c:v>0.5</c:v>
                </c:pt>
                <c:pt idx="243">
                  <c:v>0.4</c:v>
                </c:pt>
                <c:pt idx="244">
                  <c:v>0.2</c:v>
                </c:pt>
                <c:pt idx="245">
                  <c:v>0.3</c:v>
                </c:pt>
                <c:pt idx="246">
                  <c:v>0.4</c:v>
                </c:pt>
                <c:pt idx="247">
                  <c:v>0.2</c:v>
                </c:pt>
                <c:pt idx="248">
                  <c:v>0.5</c:v>
                </c:pt>
                <c:pt idx="249">
                  <c:v>0.4</c:v>
                </c:pt>
                <c:pt idx="250">
                  <c:v>0.3</c:v>
                </c:pt>
                <c:pt idx="251">
                  <c:v>0.2</c:v>
                </c:pt>
                <c:pt idx="252">
                  <c:v>0.3</c:v>
                </c:pt>
                <c:pt idx="253">
                  <c:v>0.4</c:v>
                </c:pt>
                <c:pt idx="254">
                  <c:v>0.4</c:v>
                </c:pt>
                <c:pt idx="255">
                  <c:v>0.3</c:v>
                </c:pt>
                <c:pt idx="256">
                  <c:v>0.2</c:v>
                </c:pt>
                <c:pt idx="257">
                  <c:v>0.1</c:v>
                </c:pt>
                <c:pt idx="258">
                  <c:v>0.2</c:v>
                </c:pt>
                <c:pt idx="259">
                  <c:v>0.4</c:v>
                </c:pt>
                <c:pt idx="260">
                  <c:v>0.3</c:v>
                </c:pt>
                <c:pt idx="261">
                  <c:v>0.9</c:v>
                </c:pt>
                <c:pt idx="262">
                  <c:v>1</c:v>
                </c:pt>
                <c:pt idx="263">
                  <c:v>0.6</c:v>
                </c:pt>
                <c:pt idx="264">
                  <c:v>0.1</c:v>
                </c:pt>
                <c:pt idx="265">
                  <c:v>0.2</c:v>
                </c:pt>
                <c:pt idx="266">
                  <c:v>0.1</c:v>
                </c:pt>
                <c:pt idx="267">
                  <c:v>0.7</c:v>
                </c:pt>
                <c:pt idx="268">
                  <c:v>1.6</c:v>
                </c:pt>
                <c:pt idx="269">
                  <c:v>1.7</c:v>
                </c:pt>
                <c:pt idx="270">
                  <c:v>4.4000000000000004</c:v>
                </c:pt>
                <c:pt idx="271">
                  <c:v>1.6</c:v>
                </c:pt>
                <c:pt idx="272">
                  <c:v>2.2999999999999998</c:v>
                </c:pt>
                <c:pt idx="273">
                  <c:v>3.8</c:v>
                </c:pt>
                <c:pt idx="274">
                  <c:v>1.5</c:v>
                </c:pt>
                <c:pt idx="275">
                  <c:v>1.6</c:v>
                </c:pt>
                <c:pt idx="276">
                  <c:v>1.5</c:v>
                </c:pt>
                <c:pt idx="277">
                  <c:v>1.8</c:v>
                </c:pt>
                <c:pt idx="278">
                  <c:v>4.3</c:v>
                </c:pt>
                <c:pt idx="279">
                  <c:v>2.9</c:v>
                </c:pt>
                <c:pt idx="280">
                  <c:v>2.2999999999999998</c:v>
                </c:pt>
                <c:pt idx="281">
                  <c:v>2</c:v>
                </c:pt>
                <c:pt idx="282">
                  <c:v>0</c:v>
                </c:pt>
                <c:pt idx="283">
                  <c:v>1.7</c:v>
                </c:pt>
                <c:pt idx="284">
                  <c:v>2.2999999999999998</c:v>
                </c:pt>
                <c:pt idx="285">
                  <c:v>1.8</c:v>
                </c:pt>
                <c:pt idx="286">
                  <c:v>1.8</c:v>
                </c:pt>
                <c:pt idx="287">
                  <c:v>3.2</c:v>
                </c:pt>
                <c:pt idx="288">
                  <c:v>4.8</c:v>
                </c:pt>
                <c:pt idx="289">
                  <c:v>3.7</c:v>
                </c:pt>
                <c:pt idx="290">
                  <c:v>3.8</c:v>
                </c:pt>
                <c:pt idx="291">
                  <c:v>2.5</c:v>
                </c:pt>
                <c:pt idx="292">
                  <c:v>1.8</c:v>
                </c:pt>
                <c:pt idx="293">
                  <c:v>1.3</c:v>
                </c:pt>
                <c:pt idx="294">
                  <c:v>1.6</c:v>
                </c:pt>
                <c:pt idx="295">
                  <c:v>1.6</c:v>
                </c:pt>
                <c:pt idx="296">
                  <c:v>1</c:v>
                </c:pt>
                <c:pt idx="297">
                  <c:v>1.3</c:v>
                </c:pt>
                <c:pt idx="298">
                  <c:v>1.8</c:v>
                </c:pt>
                <c:pt idx="299">
                  <c:v>1.5</c:v>
                </c:pt>
                <c:pt idx="300">
                  <c:v>1.5</c:v>
                </c:pt>
                <c:pt idx="301">
                  <c:v>1.5</c:v>
                </c:pt>
                <c:pt idx="302">
                  <c:v>1.4</c:v>
                </c:pt>
                <c:pt idx="303">
                  <c:v>1.4</c:v>
                </c:pt>
                <c:pt idx="304">
                  <c:v>2</c:v>
                </c:pt>
                <c:pt idx="305">
                  <c:v>2.2999999999999998</c:v>
                </c:pt>
                <c:pt idx="306">
                  <c:v>3.4</c:v>
                </c:pt>
                <c:pt idx="307">
                  <c:v>2.5</c:v>
                </c:pt>
                <c:pt idx="308">
                  <c:v>4.4000000000000004</c:v>
                </c:pt>
                <c:pt idx="309">
                  <c:v>3.3</c:v>
                </c:pt>
                <c:pt idx="310">
                  <c:v>2.9</c:v>
                </c:pt>
                <c:pt idx="311">
                  <c:v>2.8</c:v>
                </c:pt>
                <c:pt idx="312">
                  <c:v>2.1</c:v>
                </c:pt>
                <c:pt idx="313">
                  <c:v>1.9</c:v>
                </c:pt>
                <c:pt idx="314">
                  <c:v>2.4</c:v>
                </c:pt>
                <c:pt idx="315">
                  <c:v>2.7</c:v>
                </c:pt>
                <c:pt idx="316">
                  <c:v>2.7</c:v>
                </c:pt>
                <c:pt idx="317">
                  <c:v>1.8</c:v>
                </c:pt>
                <c:pt idx="318">
                  <c:v>2.5</c:v>
                </c:pt>
                <c:pt idx="319">
                  <c:v>2.1</c:v>
                </c:pt>
                <c:pt idx="320">
                  <c:v>1.7</c:v>
                </c:pt>
                <c:pt idx="321">
                  <c:v>2.2999999999999998</c:v>
                </c:pt>
                <c:pt idx="322">
                  <c:v>1.5</c:v>
                </c:pt>
                <c:pt idx="323">
                  <c:v>1.4</c:v>
                </c:pt>
                <c:pt idx="324">
                  <c:v>1.9</c:v>
                </c:pt>
                <c:pt idx="325">
                  <c:v>2</c:v>
                </c:pt>
                <c:pt idx="326">
                  <c:v>2.9</c:v>
                </c:pt>
                <c:pt idx="327">
                  <c:v>3.3</c:v>
                </c:pt>
                <c:pt idx="328">
                  <c:v>1.8</c:v>
                </c:pt>
                <c:pt idx="329">
                  <c:v>1.3</c:v>
                </c:pt>
                <c:pt idx="330">
                  <c:v>1</c:v>
                </c:pt>
                <c:pt idx="331">
                  <c:v>1.9</c:v>
                </c:pt>
                <c:pt idx="332">
                  <c:v>1.6</c:v>
                </c:pt>
                <c:pt idx="333">
                  <c:v>2.8</c:v>
                </c:pt>
                <c:pt idx="334">
                  <c:v>2.2000000000000002</c:v>
                </c:pt>
                <c:pt idx="335">
                  <c:v>2.8</c:v>
                </c:pt>
                <c:pt idx="336">
                  <c:v>2.9</c:v>
                </c:pt>
                <c:pt idx="337">
                  <c:v>2</c:v>
                </c:pt>
                <c:pt idx="338">
                  <c:v>1.5</c:v>
                </c:pt>
                <c:pt idx="339">
                  <c:v>1.9</c:v>
                </c:pt>
                <c:pt idx="340">
                  <c:v>2.6</c:v>
                </c:pt>
                <c:pt idx="341">
                  <c:v>2.1</c:v>
                </c:pt>
                <c:pt idx="342">
                  <c:v>1.7</c:v>
                </c:pt>
                <c:pt idx="343">
                  <c:v>1.2</c:v>
                </c:pt>
                <c:pt idx="344">
                  <c:v>1.2</c:v>
                </c:pt>
                <c:pt idx="345">
                  <c:v>1.3</c:v>
                </c:pt>
                <c:pt idx="346">
                  <c:v>1.4</c:v>
                </c:pt>
                <c:pt idx="347">
                  <c:v>1.4</c:v>
                </c:pt>
                <c:pt idx="348">
                  <c:v>1.4</c:v>
                </c:pt>
                <c:pt idx="349">
                  <c:v>2.2999999999999998</c:v>
                </c:pt>
                <c:pt idx="350">
                  <c:v>1.8</c:v>
                </c:pt>
                <c:pt idx="351">
                  <c:v>2.2000000000000002</c:v>
                </c:pt>
                <c:pt idx="352">
                  <c:v>1.7</c:v>
                </c:pt>
                <c:pt idx="353">
                  <c:v>1.8</c:v>
                </c:pt>
                <c:pt idx="354">
                  <c:v>2</c:v>
                </c:pt>
                <c:pt idx="355">
                  <c:v>2</c:v>
                </c:pt>
                <c:pt idx="356">
                  <c:v>1.4</c:v>
                </c:pt>
                <c:pt idx="357">
                  <c:v>1.1000000000000001</c:v>
                </c:pt>
                <c:pt idx="358">
                  <c:v>1</c:v>
                </c:pt>
                <c:pt idx="359">
                  <c:v>1</c:v>
                </c:pt>
                <c:pt idx="360">
                  <c:v>1.4</c:v>
                </c:pt>
                <c:pt idx="361">
                  <c:v>1.4</c:v>
                </c:pt>
                <c:pt idx="362">
                  <c:v>1.3</c:v>
                </c:pt>
                <c:pt idx="363">
                  <c:v>1</c:v>
                </c:pt>
                <c:pt idx="364">
                  <c:v>1</c:v>
                </c:pt>
              </c:numCache>
            </c:numRef>
          </c:val>
          <c:smooth val="0"/>
          <c:extLst>
            <c:ext xmlns:c16="http://schemas.microsoft.com/office/drawing/2014/chart" uri="{C3380CC4-5D6E-409C-BE32-E72D297353CC}">
              <c16:uniqueId val="{00000000-45F3-46BF-BD60-FF320CD4C9F4}"/>
            </c:ext>
          </c:extLst>
        </c:ser>
        <c:ser>
          <c:idx val="1"/>
          <c:order val="1"/>
          <c:tx>
            <c:strRef>
              <c:f>'Várpalotai mérőállomás'!$C$4</c:f>
              <c:strCache>
                <c:ptCount val="1"/>
                <c:pt idx="0">
                  <c:v>NO2 (ug/m3)</c:v>
                </c:pt>
              </c:strCache>
            </c:strRef>
          </c:tx>
          <c:spPr>
            <a:ln w="28575" cap="rnd">
              <a:solidFill>
                <a:schemeClr val="accent2"/>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mérőállomás'!$C$5:$C$369</c:f>
              <c:numCache>
                <c:formatCode>General</c:formatCode>
                <c:ptCount val="365"/>
                <c:pt idx="0">
                  <c:v>19.7</c:v>
                </c:pt>
                <c:pt idx="1">
                  <c:v>13.9</c:v>
                </c:pt>
                <c:pt idx="2">
                  <c:v>22.4</c:v>
                </c:pt>
                <c:pt idx="3">
                  <c:v>33.4</c:v>
                </c:pt>
                <c:pt idx="4">
                  <c:v>26.8</c:v>
                </c:pt>
                <c:pt idx="5">
                  <c:v>24.4</c:v>
                </c:pt>
                <c:pt idx="6">
                  <c:v>19.399999999999999</c:v>
                </c:pt>
                <c:pt idx="7">
                  <c:v>22.6</c:v>
                </c:pt>
                <c:pt idx="8">
                  <c:v>25.2</c:v>
                </c:pt>
                <c:pt idx="9">
                  <c:v>23.6</c:v>
                </c:pt>
                <c:pt idx="10">
                  <c:v>16.399999999999999</c:v>
                </c:pt>
                <c:pt idx="11">
                  <c:v>18.100000000000001</c:v>
                </c:pt>
                <c:pt idx="12">
                  <c:v>22.8</c:v>
                </c:pt>
                <c:pt idx="13">
                  <c:v>22.1</c:v>
                </c:pt>
                <c:pt idx="14">
                  <c:v>23.6</c:v>
                </c:pt>
                <c:pt idx="15">
                  <c:v>24.1</c:v>
                </c:pt>
                <c:pt idx="16">
                  <c:v>19.8</c:v>
                </c:pt>
                <c:pt idx="17">
                  <c:v>15</c:v>
                </c:pt>
                <c:pt idx="18">
                  <c:v>26.6</c:v>
                </c:pt>
                <c:pt idx="19">
                  <c:v>25.9</c:v>
                </c:pt>
                <c:pt idx="20">
                  <c:v>13.9</c:v>
                </c:pt>
                <c:pt idx="21">
                  <c:v>28.3</c:v>
                </c:pt>
                <c:pt idx="22">
                  <c:v>36.799999999999997</c:v>
                </c:pt>
                <c:pt idx="23">
                  <c:v>31.7</c:v>
                </c:pt>
                <c:pt idx="24">
                  <c:v>36.6</c:v>
                </c:pt>
                <c:pt idx="25">
                  <c:v>33.6</c:v>
                </c:pt>
                <c:pt idx="26">
                  <c:v>24</c:v>
                </c:pt>
                <c:pt idx="27">
                  <c:v>20.2</c:v>
                </c:pt>
                <c:pt idx="28">
                  <c:v>29.2</c:v>
                </c:pt>
                <c:pt idx="29">
                  <c:v>13</c:v>
                </c:pt>
                <c:pt idx="30">
                  <c:v>35.4</c:v>
                </c:pt>
                <c:pt idx="31">
                  <c:v>24</c:v>
                </c:pt>
                <c:pt idx="32">
                  <c:v>7.1</c:v>
                </c:pt>
                <c:pt idx="33">
                  <c:v>11.6</c:v>
                </c:pt>
                <c:pt idx="34">
                  <c:v>11.1</c:v>
                </c:pt>
                <c:pt idx="35">
                  <c:v>15.9</c:v>
                </c:pt>
                <c:pt idx="36">
                  <c:v>30.3</c:v>
                </c:pt>
                <c:pt idx="37">
                  <c:v>32.299999999999997</c:v>
                </c:pt>
                <c:pt idx="38">
                  <c:v>16.7</c:v>
                </c:pt>
                <c:pt idx="39">
                  <c:v>0</c:v>
                </c:pt>
                <c:pt idx="40">
                  <c:v>19.100000000000001</c:v>
                </c:pt>
                <c:pt idx="41">
                  <c:v>25.5</c:v>
                </c:pt>
                <c:pt idx="42">
                  <c:v>43.5</c:v>
                </c:pt>
                <c:pt idx="43">
                  <c:v>18</c:v>
                </c:pt>
                <c:pt idx="44">
                  <c:v>11.5</c:v>
                </c:pt>
                <c:pt idx="45">
                  <c:v>26.4</c:v>
                </c:pt>
                <c:pt idx="46">
                  <c:v>44.2</c:v>
                </c:pt>
                <c:pt idx="47">
                  <c:v>37</c:v>
                </c:pt>
                <c:pt idx="48">
                  <c:v>11.1</c:v>
                </c:pt>
                <c:pt idx="49">
                  <c:v>41.7</c:v>
                </c:pt>
                <c:pt idx="50">
                  <c:v>39</c:v>
                </c:pt>
                <c:pt idx="51">
                  <c:v>17.899999999999999</c:v>
                </c:pt>
                <c:pt idx="52">
                  <c:v>23.3</c:v>
                </c:pt>
                <c:pt idx="53">
                  <c:v>25.7</c:v>
                </c:pt>
                <c:pt idx="54">
                  <c:v>10.3</c:v>
                </c:pt>
                <c:pt idx="55">
                  <c:v>7.6</c:v>
                </c:pt>
                <c:pt idx="56">
                  <c:v>14.2</c:v>
                </c:pt>
                <c:pt idx="57">
                  <c:v>11.5</c:v>
                </c:pt>
                <c:pt idx="58">
                  <c:v>19.2</c:v>
                </c:pt>
                <c:pt idx="59">
                  <c:v>54</c:v>
                </c:pt>
                <c:pt idx="60">
                  <c:v>49.6</c:v>
                </c:pt>
                <c:pt idx="61">
                  <c:v>39</c:v>
                </c:pt>
                <c:pt idx="62">
                  <c:v>42.7</c:v>
                </c:pt>
                <c:pt idx="63">
                  <c:v>62.9</c:v>
                </c:pt>
                <c:pt idx="64">
                  <c:v>52.2</c:v>
                </c:pt>
                <c:pt idx="65">
                  <c:v>48.3</c:v>
                </c:pt>
                <c:pt idx="66">
                  <c:v>28.5</c:v>
                </c:pt>
                <c:pt idx="67">
                  <c:v>46.3</c:v>
                </c:pt>
                <c:pt idx="68">
                  <c:v>37.299999999999997</c:v>
                </c:pt>
                <c:pt idx="69">
                  <c:v>28</c:v>
                </c:pt>
                <c:pt idx="70">
                  <c:v>25.3</c:v>
                </c:pt>
                <c:pt idx="71">
                  <c:v>16.2</c:v>
                </c:pt>
                <c:pt idx="72">
                  <c:v>18.2</c:v>
                </c:pt>
                <c:pt idx="73">
                  <c:v>26.9</c:v>
                </c:pt>
                <c:pt idx="74">
                  <c:v>29.5</c:v>
                </c:pt>
                <c:pt idx="75">
                  <c:v>25.6</c:v>
                </c:pt>
                <c:pt idx="76">
                  <c:v>13.6</c:v>
                </c:pt>
                <c:pt idx="77">
                  <c:v>21.9</c:v>
                </c:pt>
                <c:pt idx="78">
                  <c:v>13.1</c:v>
                </c:pt>
                <c:pt idx="79">
                  <c:v>10.8</c:v>
                </c:pt>
                <c:pt idx="80">
                  <c:v>37.9</c:v>
                </c:pt>
                <c:pt idx="81">
                  <c:v>16.7</c:v>
                </c:pt>
                <c:pt idx="82">
                  <c:v>40.799999999999997</c:v>
                </c:pt>
                <c:pt idx="83">
                  <c:v>34.1</c:v>
                </c:pt>
                <c:pt idx="84">
                  <c:v>40</c:v>
                </c:pt>
                <c:pt idx="85">
                  <c:v>23.1</c:v>
                </c:pt>
                <c:pt idx="86">
                  <c:v>41.9</c:v>
                </c:pt>
                <c:pt idx="87">
                  <c:v>46.4</c:v>
                </c:pt>
                <c:pt idx="88">
                  <c:v>29.1</c:v>
                </c:pt>
                <c:pt idx="89">
                  <c:v>26.8</c:v>
                </c:pt>
                <c:pt idx="90">
                  <c:v>7.2</c:v>
                </c:pt>
                <c:pt idx="91">
                  <c:v>12.9</c:v>
                </c:pt>
                <c:pt idx="92">
                  <c:v>25</c:v>
                </c:pt>
                <c:pt idx="93">
                  <c:v>0</c:v>
                </c:pt>
                <c:pt idx="94">
                  <c:v>17.399999999999999</c:v>
                </c:pt>
                <c:pt idx="95">
                  <c:v>7.5</c:v>
                </c:pt>
                <c:pt idx="96">
                  <c:v>31.3</c:v>
                </c:pt>
                <c:pt idx="97">
                  <c:v>25.5</c:v>
                </c:pt>
                <c:pt idx="98">
                  <c:v>34.799999999999997</c:v>
                </c:pt>
                <c:pt idx="99">
                  <c:v>31.2</c:v>
                </c:pt>
                <c:pt idx="100">
                  <c:v>32.200000000000003</c:v>
                </c:pt>
                <c:pt idx="101">
                  <c:v>38.4</c:v>
                </c:pt>
                <c:pt idx="102">
                  <c:v>28.1</c:v>
                </c:pt>
                <c:pt idx="103">
                  <c:v>31.1</c:v>
                </c:pt>
                <c:pt idx="104">
                  <c:v>31.4</c:v>
                </c:pt>
                <c:pt idx="105">
                  <c:v>33</c:v>
                </c:pt>
                <c:pt idx="106">
                  <c:v>10.5</c:v>
                </c:pt>
                <c:pt idx="107">
                  <c:v>10.9</c:v>
                </c:pt>
                <c:pt idx="108">
                  <c:v>24.3</c:v>
                </c:pt>
                <c:pt idx="109">
                  <c:v>21.1</c:v>
                </c:pt>
                <c:pt idx="110">
                  <c:v>29.8</c:v>
                </c:pt>
                <c:pt idx="111">
                  <c:v>27.7</c:v>
                </c:pt>
                <c:pt idx="112">
                  <c:v>32.5</c:v>
                </c:pt>
                <c:pt idx="113">
                  <c:v>0</c:v>
                </c:pt>
                <c:pt idx="114">
                  <c:v>27.7</c:v>
                </c:pt>
                <c:pt idx="115">
                  <c:v>14.7</c:v>
                </c:pt>
                <c:pt idx="116">
                  <c:v>32.700000000000003</c:v>
                </c:pt>
                <c:pt idx="117">
                  <c:v>27.7</c:v>
                </c:pt>
                <c:pt idx="118">
                  <c:v>23</c:v>
                </c:pt>
                <c:pt idx="119">
                  <c:v>20.7</c:v>
                </c:pt>
                <c:pt idx="120">
                  <c:v>16.100000000000001</c:v>
                </c:pt>
                <c:pt idx="121">
                  <c:v>42.4</c:v>
                </c:pt>
                <c:pt idx="122">
                  <c:v>43</c:v>
                </c:pt>
                <c:pt idx="123">
                  <c:v>36.9</c:v>
                </c:pt>
                <c:pt idx="124">
                  <c:v>9.8000000000000007</c:v>
                </c:pt>
                <c:pt idx="125">
                  <c:v>8.4</c:v>
                </c:pt>
                <c:pt idx="126">
                  <c:v>19.100000000000001</c:v>
                </c:pt>
                <c:pt idx="127">
                  <c:v>20.100000000000001</c:v>
                </c:pt>
                <c:pt idx="128">
                  <c:v>26.5</c:v>
                </c:pt>
                <c:pt idx="129">
                  <c:v>33.6</c:v>
                </c:pt>
                <c:pt idx="130">
                  <c:v>20.5</c:v>
                </c:pt>
                <c:pt idx="131">
                  <c:v>24.2</c:v>
                </c:pt>
                <c:pt idx="132">
                  <c:v>32.299999999999997</c:v>
                </c:pt>
                <c:pt idx="133">
                  <c:v>38.1</c:v>
                </c:pt>
                <c:pt idx="134">
                  <c:v>25.4</c:v>
                </c:pt>
                <c:pt idx="135">
                  <c:v>20.7</c:v>
                </c:pt>
                <c:pt idx="136">
                  <c:v>22.6</c:v>
                </c:pt>
                <c:pt idx="137">
                  <c:v>13</c:v>
                </c:pt>
                <c:pt idx="138">
                  <c:v>14.5</c:v>
                </c:pt>
                <c:pt idx="139">
                  <c:v>20.3</c:v>
                </c:pt>
                <c:pt idx="140">
                  <c:v>23</c:v>
                </c:pt>
                <c:pt idx="141">
                  <c:v>31.8</c:v>
                </c:pt>
                <c:pt idx="142">
                  <c:v>41.4</c:v>
                </c:pt>
                <c:pt idx="143">
                  <c:v>28.9</c:v>
                </c:pt>
                <c:pt idx="144">
                  <c:v>21.8</c:v>
                </c:pt>
                <c:pt idx="145">
                  <c:v>22.4</c:v>
                </c:pt>
                <c:pt idx="146">
                  <c:v>24.4</c:v>
                </c:pt>
                <c:pt idx="147">
                  <c:v>32.200000000000003</c:v>
                </c:pt>
                <c:pt idx="148">
                  <c:v>30.8</c:v>
                </c:pt>
                <c:pt idx="149">
                  <c:v>31.5</c:v>
                </c:pt>
                <c:pt idx="150">
                  <c:v>32.200000000000003</c:v>
                </c:pt>
                <c:pt idx="151">
                  <c:v>31.4</c:v>
                </c:pt>
                <c:pt idx="152">
                  <c:v>14.4</c:v>
                </c:pt>
                <c:pt idx="153">
                  <c:v>10.4</c:v>
                </c:pt>
                <c:pt idx="154">
                  <c:v>23.7</c:v>
                </c:pt>
                <c:pt idx="155">
                  <c:v>22.8</c:v>
                </c:pt>
                <c:pt idx="156">
                  <c:v>34</c:v>
                </c:pt>
                <c:pt idx="157">
                  <c:v>35.299999999999997</c:v>
                </c:pt>
                <c:pt idx="158">
                  <c:v>36.4</c:v>
                </c:pt>
                <c:pt idx="159">
                  <c:v>22.8</c:v>
                </c:pt>
                <c:pt idx="160">
                  <c:v>20.5</c:v>
                </c:pt>
                <c:pt idx="161">
                  <c:v>26.9</c:v>
                </c:pt>
                <c:pt idx="162">
                  <c:v>16.5</c:v>
                </c:pt>
                <c:pt idx="163">
                  <c:v>21.9</c:v>
                </c:pt>
                <c:pt idx="164">
                  <c:v>10.8</c:v>
                </c:pt>
                <c:pt idx="165">
                  <c:v>9.1</c:v>
                </c:pt>
                <c:pt idx="166">
                  <c:v>17.899999999999999</c:v>
                </c:pt>
                <c:pt idx="167">
                  <c:v>12.1</c:v>
                </c:pt>
                <c:pt idx="168">
                  <c:v>11.8</c:v>
                </c:pt>
                <c:pt idx="169">
                  <c:v>8.3000000000000007</c:v>
                </c:pt>
                <c:pt idx="170">
                  <c:v>23.3</c:v>
                </c:pt>
                <c:pt idx="171">
                  <c:v>22.6</c:v>
                </c:pt>
                <c:pt idx="172">
                  <c:v>12.5</c:v>
                </c:pt>
                <c:pt idx="173">
                  <c:v>8.6</c:v>
                </c:pt>
                <c:pt idx="174">
                  <c:v>0</c:v>
                </c:pt>
                <c:pt idx="175">
                  <c:v>0</c:v>
                </c:pt>
                <c:pt idx="176">
                  <c:v>13.4</c:v>
                </c:pt>
                <c:pt idx="177">
                  <c:v>11.7</c:v>
                </c:pt>
                <c:pt idx="178">
                  <c:v>9.9</c:v>
                </c:pt>
                <c:pt idx="179">
                  <c:v>14.3</c:v>
                </c:pt>
                <c:pt idx="180">
                  <c:v>8.5</c:v>
                </c:pt>
                <c:pt idx="181">
                  <c:v>5.0999999999999996</c:v>
                </c:pt>
                <c:pt idx="182">
                  <c:v>20.6</c:v>
                </c:pt>
                <c:pt idx="183">
                  <c:v>22.1</c:v>
                </c:pt>
                <c:pt idx="184">
                  <c:v>25.4</c:v>
                </c:pt>
                <c:pt idx="185">
                  <c:v>25.6</c:v>
                </c:pt>
                <c:pt idx="186">
                  <c:v>18</c:v>
                </c:pt>
                <c:pt idx="187">
                  <c:v>7.4</c:v>
                </c:pt>
                <c:pt idx="188">
                  <c:v>5.6</c:v>
                </c:pt>
                <c:pt idx="189">
                  <c:v>11.2</c:v>
                </c:pt>
                <c:pt idx="190">
                  <c:v>19.8</c:v>
                </c:pt>
                <c:pt idx="191">
                  <c:v>14.6</c:v>
                </c:pt>
                <c:pt idx="192">
                  <c:v>16.100000000000001</c:v>
                </c:pt>
                <c:pt idx="193">
                  <c:v>14.7</c:v>
                </c:pt>
                <c:pt idx="194">
                  <c:v>8.3000000000000007</c:v>
                </c:pt>
                <c:pt idx="195">
                  <c:v>7.1</c:v>
                </c:pt>
                <c:pt idx="196">
                  <c:v>15.8</c:v>
                </c:pt>
                <c:pt idx="197">
                  <c:v>11.6</c:v>
                </c:pt>
                <c:pt idx="198">
                  <c:v>8.1</c:v>
                </c:pt>
                <c:pt idx="199">
                  <c:v>7</c:v>
                </c:pt>
                <c:pt idx="200">
                  <c:v>10</c:v>
                </c:pt>
                <c:pt idx="201">
                  <c:v>20.9</c:v>
                </c:pt>
                <c:pt idx="202">
                  <c:v>15.5</c:v>
                </c:pt>
                <c:pt idx="203">
                  <c:v>9.3000000000000007</c:v>
                </c:pt>
                <c:pt idx="204">
                  <c:v>7.2</c:v>
                </c:pt>
                <c:pt idx="205">
                  <c:v>9</c:v>
                </c:pt>
                <c:pt idx="206">
                  <c:v>13.1</c:v>
                </c:pt>
                <c:pt idx="207">
                  <c:v>22.4</c:v>
                </c:pt>
                <c:pt idx="208">
                  <c:v>21.9</c:v>
                </c:pt>
                <c:pt idx="209">
                  <c:v>12.8</c:v>
                </c:pt>
                <c:pt idx="210">
                  <c:v>16.899999999999999</c:v>
                </c:pt>
                <c:pt idx="211">
                  <c:v>16.2</c:v>
                </c:pt>
                <c:pt idx="212">
                  <c:v>13</c:v>
                </c:pt>
                <c:pt idx="213">
                  <c:v>23.3</c:v>
                </c:pt>
                <c:pt idx="214">
                  <c:v>23.6</c:v>
                </c:pt>
                <c:pt idx="215">
                  <c:v>22.2</c:v>
                </c:pt>
                <c:pt idx="216">
                  <c:v>17.100000000000001</c:v>
                </c:pt>
                <c:pt idx="217">
                  <c:v>14.9</c:v>
                </c:pt>
                <c:pt idx="218">
                  <c:v>0</c:v>
                </c:pt>
                <c:pt idx="219">
                  <c:v>18.2</c:v>
                </c:pt>
                <c:pt idx="220">
                  <c:v>23.8</c:v>
                </c:pt>
                <c:pt idx="221">
                  <c:v>21.5</c:v>
                </c:pt>
                <c:pt idx="222">
                  <c:v>8.6999999999999993</c:v>
                </c:pt>
                <c:pt idx="223">
                  <c:v>10.9</c:v>
                </c:pt>
                <c:pt idx="224">
                  <c:v>23.3</c:v>
                </c:pt>
                <c:pt idx="225">
                  <c:v>8.6999999999999993</c:v>
                </c:pt>
                <c:pt idx="226">
                  <c:v>9</c:v>
                </c:pt>
                <c:pt idx="227">
                  <c:v>16.600000000000001</c:v>
                </c:pt>
                <c:pt idx="228">
                  <c:v>19.3</c:v>
                </c:pt>
                <c:pt idx="229">
                  <c:v>17.399999999999999</c:v>
                </c:pt>
                <c:pt idx="230">
                  <c:v>16.399999999999999</c:v>
                </c:pt>
                <c:pt idx="231">
                  <c:v>13.7</c:v>
                </c:pt>
                <c:pt idx="232">
                  <c:v>16.8</c:v>
                </c:pt>
                <c:pt idx="233">
                  <c:v>25.3</c:v>
                </c:pt>
                <c:pt idx="234">
                  <c:v>28.4</c:v>
                </c:pt>
                <c:pt idx="235">
                  <c:v>26</c:v>
                </c:pt>
                <c:pt idx="236">
                  <c:v>5.6</c:v>
                </c:pt>
                <c:pt idx="237">
                  <c:v>3.6</c:v>
                </c:pt>
                <c:pt idx="238">
                  <c:v>9.4</c:v>
                </c:pt>
                <c:pt idx="239">
                  <c:v>26.3</c:v>
                </c:pt>
                <c:pt idx="240">
                  <c:v>32.700000000000003</c:v>
                </c:pt>
                <c:pt idx="241">
                  <c:v>25.9</c:v>
                </c:pt>
                <c:pt idx="242">
                  <c:v>15.1</c:v>
                </c:pt>
                <c:pt idx="243">
                  <c:v>16.600000000000001</c:v>
                </c:pt>
                <c:pt idx="244">
                  <c:v>8.9</c:v>
                </c:pt>
                <c:pt idx="245">
                  <c:v>20.399999999999999</c:v>
                </c:pt>
                <c:pt idx="246">
                  <c:v>28.1</c:v>
                </c:pt>
                <c:pt idx="247">
                  <c:v>12.9</c:v>
                </c:pt>
                <c:pt idx="248">
                  <c:v>18.5</c:v>
                </c:pt>
                <c:pt idx="249">
                  <c:v>24.2</c:v>
                </c:pt>
                <c:pt idx="250">
                  <c:v>5.6</c:v>
                </c:pt>
                <c:pt idx="251">
                  <c:v>7.8</c:v>
                </c:pt>
                <c:pt idx="252">
                  <c:v>17.2</c:v>
                </c:pt>
                <c:pt idx="253">
                  <c:v>24.2</c:v>
                </c:pt>
                <c:pt idx="254">
                  <c:v>37.6</c:v>
                </c:pt>
                <c:pt idx="255">
                  <c:v>35.299999999999997</c:v>
                </c:pt>
                <c:pt idx="256">
                  <c:v>18.899999999999999</c:v>
                </c:pt>
                <c:pt idx="257">
                  <c:v>6.8</c:v>
                </c:pt>
                <c:pt idx="258">
                  <c:v>18.7</c:v>
                </c:pt>
                <c:pt idx="259">
                  <c:v>26.7</c:v>
                </c:pt>
                <c:pt idx="260">
                  <c:v>27.7</c:v>
                </c:pt>
                <c:pt idx="261">
                  <c:v>35.299999999999997</c:v>
                </c:pt>
                <c:pt idx="262">
                  <c:v>34.799999999999997</c:v>
                </c:pt>
                <c:pt idx="263">
                  <c:v>29.1</c:v>
                </c:pt>
                <c:pt idx="264">
                  <c:v>11.8</c:v>
                </c:pt>
                <c:pt idx="265">
                  <c:v>20.8</c:v>
                </c:pt>
                <c:pt idx="266">
                  <c:v>5.6</c:v>
                </c:pt>
                <c:pt idx="267">
                  <c:v>5.9</c:v>
                </c:pt>
                <c:pt idx="268">
                  <c:v>24.8</c:v>
                </c:pt>
                <c:pt idx="269">
                  <c:v>29.3</c:v>
                </c:pt>
                <c:pt idx="270">
                  <c:v>35.6</c:v>
                </c:pt>
                <c:pt idx="271">
                  <c:v>5.8</c:v>
                </c:pt>
                <c:pt idx="272">
                  <c:v>19.3</c:v>
                </c:pt>
                <c:pt idx="273">
                  <c:v>26</c:v>
                </c:pt>
                <c:pt idx="274">
                  <c:v>12.7</c:v>
                </c:pt>
                <c:pt idx="275">
                  <c:v>18.7</c:v>
                </c:pt>
                <c:pt idx="276">
                  <c:v>17.399999999999999</c:v>
                </c:pt>
                <c:pt idx="277">
                  <c:v>35.1</c:v>
                </c:pt>
                <c:pt idx="278">
                  <c:v>32.5</c:v>
                </c:pt>
                <c:pt idx="279">
                  <c:v>24.2</c:v>
                </c:pt>
                <c:pt idx="280">
                  <c:v>29.3</c:v>
                </c:pt>
                <c:pt idx="281">
                  <c:v>37.799999999999997</c:v>
                </c:pt>
                <c:pt idx="282">
                  <c:v>37</c:v>
                </c:pt>
                <c:pt idx="283">
                  <c:v>41.7</c:v>
                </c:pt>
                <c:pt idx="284">
                  <c:v>34</c:v>
                </c:pt>
                <c:pt idx="285">
                  <c:v>36.4</c:v>
                </c:pt>
                <c:pt idx="286">
                  <c:v>27.2</c:v>
                </c:pt>
                <c:pt idx="287">
                  <c:v>42.3</c:v>
                </c:pt>
                <c:pt idx="288">
                  <c:v>36.9</c:v>
                </c:pt>
                <c:pt idx="289">
                  <c:v>44.1</c:v>
                </c:pt>
                <c:pt idx="290">
                  <c:v>40.1</c:v>
                </c:pt>
                <c:pt idx="291">
                  <c:v>37.6</c:v>
                </c:pt>
                <c:pt idx="292">
                  <c:v>23.4</c:v>
                </c:pt>
                <c:pt idx="293">
                  <c:v>8.9</c:v>
                </c:pt>
                <c:pt idx="294">
                  <c:v>18</c:v>
                </c:pt>
                <c:pt idx="295">
                  <c:v>14.3</c:v>
                </c:pt>
                <c:pt idx="296">
                  <c:v>8.4</c:v>
                </c:pt>
                <c:pt idx="297">
                  <c:v>25.6</c:v>
                </c:pt>
                <c:pt idx="298">
                  <c:v>31.7</c:v>
                </c:pt>
                <c:pt idx="299">
                  <c:v>25.7</c:v>
                </c:pt>
                <c:pt idx="300">
                  <c:v>28.6</c:v>
                </c:pt>
                <c:pt idx="301">
                  <c:v>28.4</c:v>
                </c:pt>
                <c:pt idx="302">
                  <c:v>26.2</c:v>
                </c:pt>
                <c:pt idx="303">
                  <c:v>31.4</c:v>
                </c:pt>
                <c:pt idx="304">
                  <c:v>30.6</c:v>
                </c:pt>
                <c:pt idx="305">
                  <c:v>31.5</c:v>
                </c:pt>
                <c:pt idx="306">
                  <c:v>20.2</c:v>
                </c:pt>
                <c:pt idx="307">
                  <c:v>27.3</c:v>
                </c:pt>
                <c:pt idx="308">
                  <c:v>31.6</c:v>
                </c:pt>
                <c:pt idx="309">
                  <c:v>35.4</c:v>
                </c:pt>
                <c:pt idx="310">
                  <c:v>31.1</c:v>
                </c:pt>
                <c:pt idx="311">
                  <c:v>35</c:v>
                </c:pt>
                <c:pt idx="312">
                  <c:v>36</c:v>
                </c:pt>
                <c:pt idx="313">
                  <c:v>34</c:v>
                </c:pt>
                <c:pt idx="314">
                  <c:v>33.299999999999997</c:v>
                </c:pt>
                <c:pt idx="315">
                  <c:v>37.6</c:v>
                </c:pt>
                <c:pt idx="316">
                  <c:v>37.1</c:v>
                </c:pt>
                <c:pt idx="317">
                  <c:v>22.3</c:v>
                </c:pt>
                <c:pt idx="318">
                  <c:v>37.4</c:v>
                </c:pt>
                <c:pt idx="319">
                  <c:v>25.1</c:v>
                </c:pt>
                <c:pt idx="320">
                  <c:v>21.7</c:v>
                </c:pt>
                <c:pt idx="321">
                  <c:v>27.6</c:v>
                </c:pt>
                <c:pt idx="322">
                  <c:v>33.200000000000003</c:v>
                </c:pt>
                <c:pt idx="323">
                  <c:v>29.9</c:v>
                </c:pt>
                <c:pt idx="324">
                  <c:v>31.7</c:v>
                </c:pt>
                <c:pt idx="325">
                  <c:v>27.4</c:v>
                </c:pt>
                <c:pt idx="326">
                  <c:v>24.6</c:v>
                </c:pt>
                <c:pt idx="327">
                  <c:v>19.3</c:v>
                </c:pt>
                <c:pt idx="328">
                  <c:v>22.4</c:v>
                </c:pt>
                <c:pt idx="329">
                  <c:v>19.3</c:v>
                </c:pt>
                <c:pt idx="330">
                  <c:v>13.9</c:v>
                </c:pt>
                <c:pt idx="331">
                  <c:v>16.5</c:v>
                </c:pt>
                <c:pt idx="332">
                  <c:v>31.6</c:v>
                </c:pt>
                <c:pt idx="333">
                  <c:v>35.799999999999997</c:v>
                </c:pt>
                <c:pt idx="334">
                  <c:v>30.8</c:v>
                </c:pt>
                <c:pt idx="335">
                  <c:v>28.1</c:v>
                </c:pt>
                <c:pt idx="336">
                  <c:v>33.9</c:v>
                </c:pt>
                <c:pt idx="337">
                  <c:v>22.5</c:v>
                </c:pt>
                <c:pt idx="338">
                  <c:v>21.3</c:v>
                </c:pt>
                <c:pt idx="339">
                  <c:v>39.4</c:v>
                </c:pt>
                <c:pt idx="340">
                  <c:v>37</c:v>
                </c:pt>
                <c:pt idx="341">
                  <c:v>19.7</c:v>
                </c:pt>
                <c:pt idx="342">
                  <c:v>30.1</c:v>
                </c:pt>
                <c:pt idx="343">
                  <c:v>11</c:v>
                </c:pt>
                <c:pt idx="344">
                  <c:v>25.2</c:v>
                </c:pt>
                <c:pt idx="345">
                  <c:v>17.899999999999999</c:v>
                </c:pt>
                <c:pt idx="346">
                  <c:v>25.1</c:v>
                </c:pt>
                <c:pt idx="347">
                  <c:v>23.2</c:v>
                </c:pt>
                <c:pt idx="348">
                  <c:v>11.9</c:v>
                </c:pt>
                <c:pt idx="349">
                  <c:v>22.7</c:v>
                </c:pt>
                <c:pt idx="350">
                  <c:v>36.5</c:v>
                </c:pt>
                <c:pt idx="351">
                  <c:v>42.6</c:v>
                </c:pt>
                <c:pt idx="352">
                  <c:v>43.7</c:v>
                </c:pt>
                <c:pt idx="353">
                  <c:v>44.6</c:v>
                </c:pt>
                <c:pt idx="354">
                  <c:v>41.9</c:v>
                </c:pt>
                <c:pt idx="355">
                  <c:v>24.7</c:v>
                </c:pt>
                <c:pt idx="356">
                  <c:v>19.100000000000001</c:v>
                </c:pt>
                <c:pt idx="357">
                  <c:v>11</c:v>
                </c:pt>
                <c:pt idx="358">
                  <c:v>8.4</c:v>
                </c:pt>
                <c:pt idx="359">
                  <c:v>9.5</c:v>
                </c:pt>
                <c:pt idx="360">
                  <c:v>22.5</c:v>
                </c:pt>
                <c:pt idx="361">
                  <c:v>26.1</c:v>
                </c:pt>
                <c:pt idx="362">
                  <c:v>16.5</c:v>
                </c:pt>
                <c:pt idx="363">
                  <c:v>15.8</c:v>
                </c:pt>
                <c:pt idx="364">
                  <c:v>5.2</c:v>
                </c:pt>
              </c:numCache>
            </c:numRef>
          </c:val>
          <c:smooth val="0"/>
          <c:extLst>
            <c:ext xmlns:c16="http://schemas.microsoft.com/office/drawing/2014/chart" uri="{C3380CC4-5D6E-409C-BE32-E72D297353CC}">
              <c16:uniqueId val="{00000001-45F3-46BF-BD60-FF320CD4C9F4}"/>
            </c:ext>
          </c:extLst>
        </c:ser>
        <c:ser>
          <c:idx val="2"/>
          <c:order val="2"/>
          <c:tx>
            <c:strRef>
              <c:f>'Várpalotai mérőállomás'!$D$4</c:f>
              <c:strCache>
                <c:ptCount val="1"/>
                <c:pt idx="0">
                  <c:v>CO (ug/m3)</c:v>
                </c:pt>
              </c:strCache>
            </c:strRef>
          </c:tx>
          <c:spPr>
            <a:ln w="28575" cap="rnd">
              <a:solidFill>
                <a:schemeClr val="accent3"/>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mérőállomás'!$D$5:$D$369</c:f>
              <c:numCache>
                <c:formatCode>General</c:formatCode>
                <c:ptCount val="365"/>
                <c:pt idx="0">
                  <c:v>1752</c:v>
                </c:pt>
                <c:pt idx="1">
                  <c:v>1320</c:v>
                </c:pt>
                <c:pt idx="2">
                  <c:v>1414</c:v>
                </c:pt>
                <c:pt idx="3">
                  <c:v>1786</c:v>
                </c:pt>
                <c:pt idx="4">
                  <c:v>2171</c:v>
                </c:pt>
                <c:pt idx="5">
                  <c:v>1926</c:v>
                </c:pt>
                <c:pt idx="6">
                  <c:v>1756</c:v>
                </c:pt>
                <c:pt idx="7">
                  <c:v>1798</c:v>
                </c:pt>
                <c:pt idx="8">
                  <c:v>1601</c:v>
                </c:pt>
                <c:pt idx="9">
                  <c:v>1636</c:v>
                </c:pt>
                <c:pt idx="10">
                  <c:v>1546</c:v>
                </c:pt>
                <c:pt idx="11">
                  <c:v>1604</c:v>
                </c:pt>
                <c:pt idx="12">
                  <c:v>1592</c:v>
                </c:pt>
                <c:pt idx="13">
                  <c:v>1504</c:v>
                </c:pt>
                <c:pt idx="14">
                  <c:v>1539</c:v>
                </c:pt>
                <c:pt idx="15">
                  <c:v>1727</c:v>
                </c:pt>
                <c:pt idx="16">
                  <c:v>1742</c:v>
                </c:pt>
                <c:pt idx="17">
                  <c:v>1449</c:v>
                </c:pt>
                <c:pt idx="18">
                  <c:v>1652</c:v>
                </c:pt>
                <c:pt idx="19">
                  <c:v>1684</c:v>
                </c:pt>
                <c:pt idx="20">
                  <c:v>1601</c:v>
                </c:pt>
                <c:pt idx="21">
                  <c:v>1668</c:v>
                </c:pt>
                <c:pt idx="22">
                  <c:v>1934</c:v>
                </c:pt>
                <c:pt idx="23">
                  <c:v>2005</c:v>
                </c:pt>
                <c:pt idx="24">
                  <c:v>1852</c:v>
                </c:pt>
                <c:pt idx="25">
                  <c:v>1953</c:v>
                </c:pt>
                <c:pt idx="26">
                  <c:v>1997</c:v>
                </c:pt>
                <c:pt idx="27">
                  <c:v>1836</c:v>
                </c:pt>
                <c:pt idx="28">
                  <c:v>2405</c:v>
                </c:pt>
                <c:pt idx="29">
                  <c:v>1763</c:v>
                </c:pt>
                <c:pt idx="30">
                  <c:v>2055</c:v>
                </c:pt>
                <c:pt idx="31">
                  <c:v>1711</c:v>
                </c:pt>
                <c:pt idx="32">
                  <c:v>1592</c:v>
                </c:pt>
                <c:pt idx="33">
                  <c:v>1679</c:v>
                </c:pt>
                <c:pt idx="34">
                  <c:v>1804</c:v>
                </c:pt>
                <c:pt idx="35">
                  <c:v>1876</c:v>
                </c:pt>
                <c:pt idx="36">
                  <c:v>1938</c:v>
                </c:pt>
                <c:pt idx="37">
                  <c:v>1962</c:v>
                </c:pt>
                <c:pt idx="38">
                  <c:v>1914</c:v>
                </c:pt>
                <c:pt idx="39">
                  <c:v>0</c:v>
                </c:pt>
                <c:pt idx="40">
                  <c:v>502</c:v>
                </c:pt>
                <c:pt idx="41">
                  <c:v>621</c:v>
                </c:pt>
                <c:pt idx="42">
                  <c:v>919</c:v>
                </c:pt>
                <c:pt idx="43">
                  <c:v>449</c:v>
                </c:pt>
                <c:pt idx="44">
                  <c:v>416</c:v>
                </c:pt>
                <c:pt idx="45">
                  <c:v>809</c:v>
                </c:pt>
                <c:pt idx="46">
                  <c:v>804</c:v>
                </c:pt>
                <c:pt idx="47">
                  <c:v>636</c:v>
                </c:pt>
                <c:pt idx="48">
                  <c:v>460</c:v>
                </c:pt>
                <c:pt idx="49">
                  <c:v>662</c:v>
                </c:pt>
                <c:pt idx="50">
                  <c:v>636</c:v>
                </c:pt>
                <c:pt idx="51">
                  <c:v>627</c:v>
                </c:pt>
                <c:pt idx="52">
                  <c:v>637</c:v>
                </c:pt>
                <c:pt idx="53">
                  <c:v>628</c:v>
                </c:pt>
                <c:pt idx="54">
                  <c:v>532</c:v>
                </c:pt>
                <c:pt idx="55">
                  <c:v>538</c:v>
                </c:pt>
                <c:pt idx="56">
                  <c:v>604</c:v>
                </c:pt>
                <c:pt idx="57">
                  <c:v>597</c:v>
                </c:pt>
                <c:pt idx="58">
                  <c:v>807</c:v>
                </c:pt>
                <c:pt idx="59">
                  <c:v>1041</c:v>
                </c:pt>
                <c:pt idx="60">
                  <c:v>1031</c:v>
                </c:pt>
                <c:pt idx="61">
                  <c:v>996</c:v>
                </c:pt>
                <c:pt idx="62">
                  <c:v>1464</c:v>
                </c:pt>
                <c:pt idx="63">
                  <c:v>1903</c:v>
                </c:pt>
                <c:pt idx="64">
                  <c:v>2321</c:v>
                </c:pt>
                <c:pt idx="65">
                  <c:v>2713</c:v>
                </c:pt>
                <c:pt idx="66">
                  <c:v>3088</c:v>
                </c:pt>
                <c:pt idx="67">
                  <c:v>0</c:v>
                </c:pt>
                <c:pt idx="68">
                  <c:v>0</c:v>
                </c:pt>
                <c:pt idx="69">
                  <c:v>0</c:v>
                </c:pt>
                <c:pt idx="70">
                  <c:v>0</c:v>
                </c:pt>
                <c:pt idx="71">
                  <c:v>0</c:v>
                </c:pt>
                <c:pt idx="72">
                  <c:v>0</c:v>
                </c:pt>
                <c:pt idx="73">
                  <c:v>0</c:v>
                </c:pt>
                <c:pt idx="74">
                  <c:v>0</c:v>
                </c:pt>
                <c:pt idx="75">
                  <c:v>0</c:v>
                </c:pt>
                <c:pt idx="76">
                  <c:v>0</c:v>
                </c:pt>
                <c:pt idx="77">
                  <c:v>0</c:v>
                </c:pt>
                <c:pt idx="78">
                  <c:v>717</c:v>
                </c:pt>
                <c:pt idx="79">
                  <c:v>723</c:v>
                </c:pt>
                <c:pt idx="80">
                  <c:v>975</c:v>
                </c:pt>
                <c:pt idx="81">
                  <c:v>754</c:v>
                </c:pt>
                <c:pt idx="82">
                  <c:v>923</c:v>
                </c:pt>
                <c:pt idx="83">
                  <c:v>959</c:v>
                </c:pt>
                <c:pt idx="84">
                  <c:v>937</c:v>
                </c:pt>
                <c:pt idx="85">
                  <c:v>857</c:v>
                </c:pt>
                <c:pt idx="86">
                  <c:v>1076</c:v>
                </c:pt>
                <c:pt idx="87">
                  <c:v>1157</c:v>
                </c:pt>
                <c:pt idx="88">
                  <c:v>935</c:v>
                </c:pt>
                <c:pt idx="89">
                  <c:v>946</c:v>
                </c:pt>
                <c:pt idx="90">
                  <c:v>719</c:v>
                </c:pt>
                <c:pt idx="91">
                  <c:v>844</c:v>
                </c:pt>
                <c:pt idx="92">
                  <c:v>889</c:v>
                </c:pt>
                <c:pt idx="93">
                  <c:v>803</c:v>
                </c:pt>
                <c:pt idx="94">
                  <c:v>784</c:v>
                </c:pt>
                <c:pt idx="95">
                  <c:v>763</c:v>
                </c:pt>
                <c:pt idx="96">
                  <c:v>1022</c:v>
                </c:pt>
                <c:pt idx="97">
                  <c:v>1012</c:v>
                </c:pt>
                <c:pt idx="98">
                  <c:v>998</c:v>
                </c:pt>
                <c:pt idx="99">
                  <c:v>920</c:v>
                </c:pt>
                <c:pt idx="100">
                  <c:v>966</c:v>
                </c:pt>
                <c:pt idx="101">
                  <c:v>1013</c:v>
                </c:pt>
                <c:pt idx="102">
                  <c:v>912</c:v>
                </c:pt>
                <c:pt idx="103">
                  <c:v>967</c:v>
                </c:pt>
                <c:pt idx="104">
                  <c:v>988</c:v>
                </c:pt>
                <c:pt idx="105">
                  <c:v>1099</c:v>
                </c:pt>
                <c:pt idx="106">
                  <c:v>859</c:v>
                </c:pt>
                <c:pt idx="107">
                  <c:v>889</c:v>
                </c:pt>
                <c:pt idx="108">
                  <c:v>947</c:v>
                </c:pt>
                <c:pt idx="109">
                  <c:v>916</c:v>
                </c:pt>
                <c:pt idx="110">
                  <c:v>995</c:v>
                </c:pt>
                <c:pt idx="111">
                  <c:v>1029</c:v>
                </c:pt>
                <c:pt idx="112">
                  <c:v>1055</c:v>
                </c:pt>
                <c:pt idx="113">
                  <c:v>0</c:v>
                </c:pt>
                <c:pt idx="114">
                  <c:v>287</c:v>
                </c:pt>
                <c:pt idx="115">
                  <c:v>187</c:v>
                </c:pt>
                <c:pt idx="116">
                  <c:v>307</c:v>
                </c:pt>
                <c:pt idx="117">
                  <c:v>303</c:v>
                </c:pt>
                <c:pt idx="118">
                  <c:v>307</c:v>
                </c:pt>
                <c:pt idx="119">
                  <c:v>277</c:v>
                </c:pt>
                <c:pt idx="120">
                  <c:v>252</c:v>
                </c:pt>
                <c:pt idx="121">
                  <c:v>421</c:v>
                </c:pt>
                <c:pt idx="122">
                  <c:v>0</c:v>
                </c:pt>
                <c:pt idx="123">
                  <c:v>0</c:v>
                </c:pt>
                <c:pt idx="124">
                  <c:v>218</c:v>
                </c:pt>
                <c:pt idx="125">
                  <c:v>197</c:v>
                </c:pt>
                <c:pt idx="126">
                  <c:v>231</c:v>
                </c:pt>
                <c:pt idx="127">
                  <c:v>233</c:v>
                </c:pt>
                <c:pt idx="128">
                  <c:v>313</c:v>
                </c:pt>
                <c:pt idx="129">
                  <c:v>366</c:v>
                </c:pt>
                <c:pt idx="130">
                  <c:v>275</c:v>
                </c:pt>
                <c:pt idx="131">
                  <c:v>306</c:v>
                </c:pt>
                <c:pt idx="132">
                  <c:v>326</c:v>
                </c:pt>
                <c:pt idx="133">
                  <c:v>388</c:v>
                </c:pt>
                <c:pt idx="134">
                  <c:v>335</c:v>
                </c:pt>
                <c:pt idx="135">
                  <c:v>302</c:v>
                </c:pt>
                <c:pt idx="136">
                  <c:v>338</c:v>
                </c:pt>
                <c:pt idx="137">
                  <c:v>274</c:v>
                </c:pt>
                <c:pt idx="138">
                  <c:v>293</c:v>
                </c:pt>
                <c:pt idx="139">
                  <c:v>337</c:v>
                </c:pt>
                <c:pt idx="140">
                  <c:v>363</c:v>
                </c:pt>
                <c:pt idx="141">
                  <c:v>420</c:v>
                </c:pt>
                <c:pt idx="142">
                  <c:v>497</c:v>
                </c:pt>
                <c:pt idx="143">
                  <c:v>474</c:v>
                </c:pt>
                <c:pt idx="144">
                  <c:v>383</c:v>
                </c:pt>
                <c:pt idx="145">
                  <c:v>417</c:v>
                </c:pt>
                <c:pt idx="146">
                  <c:v>430</c:v>
                </c:pt>
                <c:pt idx="147">
                  <c:v>490</c:v>
                </c:pt>
                <c:pt idx="148">
                  <c:v>464</c:v>
                </c:pt>
                <c:pt idx="149">
                  <c:v>478</c:v>
                </c:pt>
                <c:pt idx="150">
                  <c:v>497</c:v>
                </c:pt>
                <c:pt idx="151">
                  <c:v>468</c:v>
                </c:pt>
                <c:pt idx="152">
                  <c:v>384</c:v>
                </c:pt>
                <c:pt idx="153">
                  <c:v>380</c:v>
                </c:pt>
                <c:pt idx="154">
                  <c:v>470</c:v>
                </c:pt>
                <c:pt idx="155">
                  <c:v>458</c:v>
                </c:pt>
                <c:pt idx="156">
                  <c:v>568</c:v>
                </c:pt>
                <c:pt idx="157">
                  <c:v>571</c:v>
                </c:pt>
                <c:pt idx="158">
                  <c:v>586</c:v>
                </c:pt>
                <c:pt idx="159">
                  <c:v>482</c:v>
                </c:pt>
                <c:pt idx="160">
                  <c:v>481</c:v>
                </c:pt>
                <c:pt idx="161">
                  <c:v>542</c:v>
                </c:pt>
                <c:pt idx="162">
                  <c:v>483</c:v>
                </c:pt>
                <c:pt idx="163">
                  <c:v>559</c:v>
                </c:pt>
                <c:pt idx="164">
                  <c:v>422</c:v>
                </c:pt>
                <c:pt idx="165">
                  <c:v>428</c:v>
                </c:pt>
                <c:pt idx="166">
                  <c:v>500</c:v>
                </c:pt>
                <c:pt idx="167">
                  <c:v>469</c:v>
                </c:pt>
                <c:pt idx="168">
                  <c:v>467</c:v>
                </c:pt>
                <c:pt idx="169">
                  <c:v>465</c:v>
                </c:pt>
                <c:pt idx="170">
                  <c:v>596</c:v>
                </c:pt>
                <c:pt idx="171">
                  <c:v>638</c:v>
                </c:pt>
                <c:pt idx="172">
                  <c:v>502</c:v>
                </c:pt>
                <c:pt idx="173">
                  <c:v>510</c:v>
                </c:pt>
                <c:pt idx="174">
                  <c:v>0</c:v>
                </c:pt>
                <c:pt idx="175">
                  <c:v>0</c:v>
                </c:pt>
                <c:pt idx="176">
                  <c:v>581</c:v>
                </c:pt>
                <c:pt idx="177">
                  <c:v>544</c:v>
                </c:pt>
                <c:pt idx="178">
                  <c:v>590</c:v>
                </c:pt>
                <c:pt idx="179">
                  <c:v>401</c:v>
                </c:pt>
                <c:pt idx="180">
                  <c:v>120</c:v>
                </c:pt>
                <c:pt idx="181">
                  <c:v>101</c:v>
                </c:pt>
                <c:pt idx="182">
                  <c:v>203</c:v>
                </c:pt>
                <c:pt idx="183">
                  <c:v>254</c:v>
                </c:pt>
                <c:pt idx="184">
                  <c:v>323</c:v>
                </c:pt>
                <c:pt idx="185">
                  <c:v>337</c:v>
                </c:pt>
                <c:pt idx="186">
                  <c:v>300</c:v>
                </c:pt>
                <c:pt idx="187">
                  <c:v>224</c:v>
                </c:pt>
                <c:pt idx="188">
                  <c:v>213</c:v>
                </c:pt>
                <c:pt idx="189">
                  <c:v>277</c:v>
                </c:pt>
                <c:pt idx="190">
                  <c:v>364</c:v>
                </c:pt>
                <c:pt idx="191">
                  <c:v>337</c:v>
                </c:pt>
                <c:pt idx="192">
                  <c:v>334</c:v>
                </c:pt>
                <c:pt idx="193">
                  <c:v>334</c:v>
                </c:pt>
                <c:pt idx="194">
                  <c:v>304</c:v>
                </c:pt>
                <c:pt idx="195">
                  <c:v>311</c:v>
                </c:pt>
                <c:pt idx="196">
                  <c:v>348</c:v>
                </c:pt>
                <c:pt idx="197">
                  <c:v>343</c:v>
                </c:pt>
                <c:pt idx="198">
                  <c:v>343</c:v>
                </c:pt>
                <c:pt idx="199">
                  <c:v>362</c:v>
                </c:pt>
                <c:pt idx="200">
                  <c:v>401</c:v>
                </c:pt>
                <c:pt idx="201">
                  <c:v>501</c:v>
                </c:pt>
                <c:pt idx="202">
                  <c:v>457</c:v>
                </c:pt>
                <c:pt idx="203">
                  <c:v>425</c:v>
                </c:pt>
                <c:pt idx="204">
                  <c:v>403</c:v>
                </c:pt>
                <c:pt idx="205">
                  <c:v>422</c:v>
                </c:pt>
                <c:pt idx="206">
                  <c:v>455</c:v>
                </c:pt>
                <c:pt idx="207">
                  <c:v>557</c:v>
                </c:pt>
                <c:pt idx="208">
                  <c:v>579</c:v>
                </c:pt>
                <c:pt idx="209">
                  <c:v>500</c:v>
                </c:pt>
                <c:pt idx="210">
                  <c:v>544</c:v>
                </c:pt>
                <c:pt idx="211">
                  <c:v>566</c:v>
                </c:pt>
                <c:pt idx="212">
                  <c:v>648</c:v>
                </c:pt>
                <c:pt idx="213">
                  <c:v>771</c:v>
                </c:pt>
                <c:pt idx="214">
                  <c:v>799</c:v>
                </c:pt>
                <c:pt idx="215">
                  <c:v>756</c:v>
                </c:pt>
                <c:pt idx="216">
                  <c:v>761</c:v>
                </c:pt>
                <c:pt idx="217">
                  <c:v>720</c:v>
                </c:pt>
                <c:pt idx="218">
                  <c:v>424</c:v>
                </c:pt>
                <c:pt idx="219">
                  <c:v>151</c:v>
                </c:pt>
                <c:pt idx="220">
                  <c:v>161</c:v>
                </c:pt>
                <c:pt idx="221">
                  <c:v>133</c:v>
                </c:pt>
                <c:pt idx="222">
                  <c:v>32</c:v>
                </c:pt>
                <c:pt idx="223">
                  <c:v>75</c:v>
                </c:pt>
                <c:pt idx="224">
                  <c:v>147</c:v>
                </c:pt>
                <c:pt idx="225">
                  <c:v>35</c:v>
                </c:pt>
                <c:pt idx="226">
                  <c:v>0</c:v>
                </c:pt>
                <c:pt idx="227">
                  <c:v>81</c:v>
                </c:pt>
                <c:pt idx="228">
                  <c:v>133</c:v>
                </c:pt>
                <c:pt idx="229">
                  <c:v>111</c:v>
                </c:pt>
                <c:pt idx="230">
                  <c:v>112</c:v>
                </c:pt>
                <c:pt idx="231">
                  <c:v>87</c:v>
                </c:pt>
                <c:pt idx="232">
                  <c:v>114</c:v>
                </c:pt>
                <c:pt idx="233">
                  <c:v>137</c:v>
                </c:pt>
                <c:pt idx="234">
                  <c:v>171</c:v>
                </c:pt>
                <c:pt idx="235">
                  <c:v>133</c:v>
                </c:pt>
                <c:pt idx="236">
                  <c:v>12</c:v>
                </c:pt>
                <c:pt idx="237">
                  <c:v>12</c:v>
                </c:pt>
                <c:pt idx="238">
                  <c:v>52</c:v>
                </c:pt>
                <c:pt idx="239">
                  <c:v>261</c:v>
                </c:pt>
                <c:pt idx="240">
                  <c:v>458</c:v>
                </c:pt>
                <c:pt idx="241">
                  <c:v>454</c:v>
                </c:pt>
                <c:pt idx="242">
                  <c:v>406</c:v>
                </c:pt>
                <c:pt idx="243">
                  <c:v>425</c:v>
                </c:pt>
                <c:pt idx="244">
                  <c:v>394</c:v>
                </c:pt>
                <c:pt idx="245">
                  <c:v>435</c:v>
                </c:pt>
                <c:pt idx="246">
                  <c:v>476</c:v>
                </c:pt>
                <c:pt idx="247">
                  <c:v>402</c:v>
                </c:pt>
                <c:pt idx="248">
                  <c:v>414</c:v>
                </c:pt>
                <c:pt idx="249">
                  <c:v>477</c:v>
                </c:pt>
                <c:pt idx="250">
                  <c:v>350</c:v>
                </c:pt>
                <c:pt idx="251">
                  <c:v>359</c:v>
                </c:pt>
                <c:pt idx="252">
                  <c:v>436</c:v>
                </c:pt>
                <c:pt idx="253">
                  <c:v>473</c:v>
                </c:pt>
                <c:pt idx="254">
                  <c:v>519</c:v>
                </c:pt>
                <c:pt idx="255">
                  <c:v>528</c:v>
                </c:pt>
                <c:pt idx="256">
                  <c:v>459</c:v>
                </c:pt>
                <c:pt idx="257">
                  <c:v>357</c:v>
                </c:pt>
                <c:pt idx="258">
                  <c:v>449</c:v>
                </c:pt>
                <c:pt idx="259">
                  <c:v>494</c:v>
                </c:pt>
                <c:pt idx="260">
                  <c:v>496</c:v>
                </c:pt>
                <c:pt idx="261">
                  <c:v>564</c:v>
                </c:pt>
                <c:pt idx="262">
                  <c:v>403</c:v>
                </c:pt>
                <c:pt idx="263">
                  <c:v>250</c:v>
                </c:pt>
                <c:pt idx="264">
                  <c:v>122</c:v>
                </c:pt>
                <c:pt idx="265">
                  <c:v>159</c:v>
                </c:pt>
                <c:pt idx="266">
                  <c:v>87</c:v>
                </c:pt>
                <c:pt idx="267">
                  <c:v>102</c:v>
                </c:pt>
                <c:pt idx="268">
                  <c:v>292</c:v>
                </c:pt>
                <c:pt idx="269">
                  <c:v>357</c:v>
                </c:pt>
                <c:pt idx="270">
                  <c:v>339</c:v>
                </c:pt>
                <c:pt idx="271">
                  <c:v>177</c:v>
                </c:pt>
                <c:pt idx="272">
                  <c:v>295</c:v>
                </c:pt>
                <c:pt idx="273">
                  <c:v>404</c:v>
                </c:pt>
                <c:pt idx="274">
                  <c:v>241</c:v>
                </c:pt>
                <c:pt idx="275">
                  <c:v>325</c:v>
                </c:pt>
                <c:pt idx="276">
                  <c:v>332</c:v>
                </c:pt>
                <c:pt idx="277">
                  <c:v>512</c:v>
                </c:pt>
                <c:pt idx="278">
                  <c:v>557</c:v>
                </c:pt>
                <c:pt idx="279">
                  <c:v>568</c:v>
                </c:pt>
                <c:pt idx="280">
                  <c:v>501</c:v>
                </c:pt>
                <c:pt idx="281">
                  <c:v>540</c:v>
                </c:pt>
                <c:pt idx="282">
                  <c:v>0</c:v>
                </c:pt>
                <c:pt idx="283">
                  <c:v>550</c:v>
                </c:pt>
                <c:pt idx="284">
                  <c:v>287</c:v>
                </c:pt>
                <c:pt idx="285">
                  <c:v>242</c:v>
                </c:pt>
                <c:pt idx="286">
                  <c:v>171</c:v>
                </c:pt>
                <c:pt idx="287">
                  <c:v>299</c:v>
                </c:pt>
                <c:pt idx="288">
                  <c:v>342</c:v>
                </c:pt>
                <c:pt idx="289">
                  <c:v>326</c:v>
                </c:pt>
                <c:pt idx="290">
                  <c:v>275</c:v>
                </c:pt>
                <c:pt idx="291">
                  <c:v>276</c:v>
                </c:pt>
                <c:pt idx="292">
                  <c:v>194</c:v>
                </c:pt>
                <c:pt idx="293">
                  <c:v>0</c:v>
                </c:pt>
                <c:pt idx="294">
                  <c:v>157</c:v>
                </c:pt>
                <c:pt idx="295">
                  <c:v>83</c:v>
                </c:pt>
                <c:pt idx="296">
                  <c:v>62</c:v>
                </c:pt>
                <c:pt idx="297">
                  <c:v>181</c:v>
                </c:pt>
                <c:pt idx="298">
                  <c:v>450</c:v>
                </c:pt>
                <c:pt idx="299">
                  <c:v>238</c:v>
                </c:pt>
                <c:pt idx="300">
                  <c:v>222</c:v>
                </c:pt>
                <c:pt idx="301">
                  <c:v>193</c:v>
                </c:pt>
                <c:pt idx="302">
                  <c:v>99</c:v>
                </c:pt>
                <c:pt idx="303">
                  <c:v>255</c:v>
                </c:pt>
                <c:pt idx="304">
                  <c:v>457</c:v>
                </c:pt>
                <c:pt idx="305">
                  <c:v>259</c:v>
                </c:pt>
                <c:pt idx="306">
                  <c:v>242</c:v>
                </c:pt>
                <c:pt idx="307">
                  <c:v>509</c:v>
                </c:pt>
                <c:pt idx="308">
                  <c:v>574</c:v>
                </c:pt>
                <c:pt idx="309">
                  <c:v>647</c:v>
                </c:pt>
                <c:pt idx="310">
                  <c:v>698</c:v>
                </c:pt>
                <c:pt idx="311">
                  <c:v>756</c:v>
                </c:pt>
                <c:pt idx="312">
                  <c:v>916</c:v>
                </c:pt>
                <c:pt idx="313">
                  <c:v>808</c:v>
                </c:pt>
                <c:pt idx="314">
                  <c:v>975</c:v>
                </c:pt>
                <c:pt idx="315">
                  <c:v>751</c:v>
                </c:pt>
                <c:pt idx="316">
                  <c:v>746</c:v>
                </c:pt>
                <c:pt idx="317">
                  <c:v>483</c:v>
                </c:pt>
                <c:pt idx="318">
                  <c:v>731</c:v>
                </c:pt>
                <c:pt idx="319">
                  <c:v>523</c:v>
                </c:pt>
                <c:pt idx="320">
                  <c:v>506</c:v>
                </c:pt>
                <c:pt idx="321">
                  <c:v>654</c:v>
                </c:pt>
                <c:pt idx="322">
                  <c:v>706</c:v>
                </c:pt>
                <c:pt idx="323">
                  <c:v>682</c:v>
                </c:pt>
                <c:pt idx="324">
                  <c:v>815</c:v>
                </c:pt>
                <c:pt idx="325">
                  <c:v>806</c:v>
                </c:pt>
                <c:pt idx="326">
                  <c:v>770</c:v>
                </c:pt>
                <c:pt idx="327">
                  <c:v>808</c:v>
                </c:pt>
                <c:pt idx="328">
                  <c:v>867</c:v>
                </c:pt>
                <c:pt idx="329">
                  <c:v>723</c:v>
                </c:pt>
                <c:pt idx="330">
                  <c:v>619</c:v>
                </c:pt>
                <c:pt idx="331">
                  <c:v>626</c:v>
                </c:pt>
                <c:pt idx="332">
                  <c:v>718</c:v>
                </c:pt>
                <c:pt idx="333">
                  <c:v>678</c:v>
                </c:pt>
                <c:pt idx="334">
                  <c:v>795</c:v>
                </c:pt>
                <c:pt idx="335">
                  <c:v>825</c:v>
                </c:pt>
                <c:pt idx="336">
                  <c:v>1473</c:v>
                </c:pt>
                <c:pt idx="337">
                  <c:v>1010</c:v>
                </c:pt>
                <c:pt idx="338">
                  <c:v>713</c:v>
                </c:pt>
                <c:pt idx="339">
                  <c:v>1119</c:v>
                </c:pt>
                <c:pt idx="340">
                  <c:v>1347</c:v>
                </c:pt>
                <c:pt idx="341">
                  <c:v>864</c:v>
                </c:pt>
                <c:pt idx="342">
                  <c:v>1123</c:v>
                </c:pt>
                <c:pt idx="343">
                  <c:v>648</c:v>
                </c:pt>
                <c:pt idx="344">
                  <c:v>775</c:v>
                </c:pt>
                <c:pt idx="345">
                  <c:v>895</c:v>
                </c:pt>
                <c:pt idx="346">
                  <c:v>963</c:v>
                </c:pt>
                <c:pt idx="347">
                  <c:v>967</c:v>
                </c:pt>
                <c:pt idx="348">
                  <c:v>819</c:v>
                </c:pt>
                <c:pt idx="349">
                  <c:v>1088</c:v>
                </c:pt>
                <c:pt idx="350">
                  <c:v>1180</c:v>
                </c:pt>
                <c:pt idx="351">
                  <c:v>1475</c:v>
                </c:pt>
                <c:pt idx="352">
                  <c:v>1367</c:v>
                </c:pt>
                <c:pt idx="353">
                  <c:v>1430</c:v>
                </c:pt>
                <c:pt idx="354">
                  <c:v>1597</c:v>
                </c:pt>
                <c:pt idx="355">
                  <c:v>1007</c:v>
                </c:pt>
                <c:pt idx="356">
                  <c:v>976</c:v>
                </c:pt>
                <c:pt idx="357">
                  <c:v>894</c:v>
                </c:pt>
                <c:pt idx="358">
                  <c:v>792</c:v>
                </c:pt>
                <c:pt idx="359">
                  <c:v>827</c:v>
                </c:pt>
                <c:pt idx="360">
                  <c:v>1095</c:v>
                </c:pt>
                <c:pt idx="361">
                  <c:v>977</c:v>
                </c:pt>
                <c:pt idx="362">
                  <c:v>926</c:v>
                </c:pt>
                <c:pt idx="363">
                  <c:v>943</c:v>
                </c:pt>
                <c:pt idx="364">
                  <c:v>848</c:v>
                </c:pt>
              </c:numCache>
            </c:numRef>
          </c:val>
          <c:smooth val="0"/>
          <c:extLst>
            <c:ext xmlns:c16="http://schemas.microsoft.com/office/drawing/2014/chart" uri="{C3380CC4-5D6E-409C-BE32-E72D297353CC}">
              <c16:uniqueId val="{00000002-45F3-46BF-BD60-FF320CD4C9F4}"/>
            </c:ext>
          </c:extLst>
        </c:ser>
        <c:ser>
          <c:idx val="3"/>
          <c:order val="3"/>
          <c:tx>
            <c:strRef>
              <c:f>'Várpalotai mérőállomás'!$E$4</c:f>
              <c:strCache>
                <c:ptCount val="1"/>
                <c:pt idx="0">
                  <c:v>O3 (ug/m3)</c:v>
                </c:pt>
              </c:strCache>
            </c:strRef>
          </c:tx>
          <c:spPr>
            <a:ln w="28575" cap="rnd">
              <a:solidFill>
                <a:schemeClr val="accent4"/>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mérőállomás'!$E$5:$E$369</c:f>
              <c:numCache>
                <c:formatCode>General</c:formatCode>
                <c:ptCount val="365"/>
                <c:pt idx="0">
                  <c:v>10.8</c:v>
                </c:pt>
                <c:pt idx="1">
                  <c:v>34.4</c:v>
                </c:pt>
                <c:pt idx="2">
                  <c:v>19.600000000000001</c:v>
                </c:pt>
                <c:pt idx="3">
                  <c:v>13.2</c:v>
                </c:pt>
                <c:pt idx="4">
                  <c:v>6.6</c:v>
                </c:pt>
                <c:pt idx="5">
                  <c:v>7.5</c:v>
                </c:pt>
                <c:pt idx="6">
                  <c:v>8.6</c:v>
                </c:pt>
                <c:pt idx="7">
                  <c:v>5.7</c:v>
                </c:pt>
                <c:pt idx="8">
                  <c:v>6.5</c:v>
                </c:pt>
                <c:pt idx="9">
                  <c:v>6.7</c:v>
                </c:pt>
                <c:pt idx="10">
                  <c:v>11</c:v>
                </c:pt>
                <c:pt idx="11">
                  <c:v>8.3000000000000007</c:v>
                </c:pt>
                <c:pt idx="12">
                  <c:v>7.9</c:v>
                </c:pt>
                <c:pt idx="13">
                  <c:v>12.1</c:v>
                </c:pt>
                <c:pt idx="14">
                  <c:v>14.3</c:v>
                </c:pt>
                <c:pt idx="15">
                  <c:v>9.6</c:v>
                </c:pt>
                <c:pt idx="16">
                  <c:v>28.2</c:v>
                </c:pt>
                <c:pt idx="17">
                  <c:v>42.7</c:v>
                </c:pt>
                <c:pt idx="18">
                  <c:v>23.2</c:v>
                </c:pt>
                <c:pt idx="19">
                  <c:v>20.3</c:v>
                </c:pt>
                <c:pt idx="20">
                  <c:v>31.9</c:v>
                </c:pt>
                <c:pt idx="21">
                  <c:v>23.7</c:v>
                </c:pt>
                <c:pt idx="22">
                  <c:v>9.6</c:v>
                </c:pt>
                <c:pt idx="23">
                  <c:v>7</c:v>
                </c:pt>
                <c:pt idx="24">
                  <c:v>8.9</c:v>
                </c:pt>
                <c:pt idx="25">
                  <c:v>10</c:v>
                </c:pt>
                <c:pt idx="26">
                  <c:v>11.6</c:v>
                </c:pt>
                <c:pt idx="27">
                  <c:v>14.5</c:v>
                </c:pt>
                <c:pt idx="28">
                  <c:v>6.7</c:v>
                </c:pt>
                <c:pt idx="29">
                  <c:v>36.799999999999997</c:v>
                </c:pt>
                <c:pt idx="30">
                  <c:v>8.4</c:v>
                </c:pt>
                <c:pt idx="31">
                  <c:v>27.3</c:v>
                </c:pt>
                <c:pt idx="32">
                  <c:v>47.8</c:v>
                </c:pt>
                <c:pt idx="33">
                  <c:v>33.6</c:v>
                </c:pt>
                <c:pt idx="34">
                  <c:v>28.1</c:v>
                </c:pt>
                <c:pt idx="35">
                  <c:v>24.6</c:v>
                </c:pt>
                <c:pt idx="36">
                  <c:v>13.7</c:v>
                </c:pt>
                <c:pt idx="37">
                  <c:v>14.3</c:v>
                </c:pt>
                <c:pt idx="38">
                  <c:v>29.8</c:v>
                </c:pt>
                <c:pt idx="39">
                  <c:v>0</c:v>
                </c:pt>
                <c:pt idx="40">
                  <c:v>39.9</c:v>
                </c:pt>
                <c:pt idx="41">
                  <c:v>32.4</c:v>
                </c:pt>
                <c:pt idx="42">
                  <c:v>7.8</c:v>
                </c:pt>
                <c:pt idx="43">
                  <c:v>25.5</c:v>
                </c:pt>
                <c:pt idx="44">
                  <c:v>44.8</c:v>
                </c:pt>
                <c:pt idx="45">
                  <c:v>30</c:v>
                </c:pt>
                <c:pt idx="46">
                  <c:v>14.8</c:v>
                </c:pt>
                <c:pt idx="47">
                  <c:v>17.2</c:v>
                </c:pt>
                <c:pt idx="48">
                  <c:v>50.6</c:v>
                </c:pt>
                <c:pt idx="49">
                  <c:v>15.9</c:v>
                </c:pt>
                <c:pt idx="50">
                  <c:v>18.899999999999999</c:v>
                </c:pt>
                <c:pt idx="51">
                  <c:v>40</c:v>
                </c:pt>
                <c:pt idx="52">
                  <c:v>32.700000000000003</c:v>
                </c:pt>
                <c:pt idx="53">
                  <c:v>32.6</c:v>
                </c:pt>
                <c:pt idx="54">
                  <c:v>58.1</c:v>
                </c:pt>
                <c:pt idx="55">
                  <c:v>61.1</c:v>
                </c:pt>
                <c:pt idx="56">
                  <c:v>53.1</c:v>
                </c:pt>
                <c:pt idx="57">
                  <c:v>62.8</c:v>
                </c:pt>
                <c:pt idx="58">
                  <c:v>57.7</c:v>
                </c:pt>
                <c:pt idx="59">
                  <c:v>30.7</c:v>
                </c:pt>
                <c:pt idx="60">
                  <c:v>25.1</c:v>
                </c:pt>
                <c:pt idx="61">
                  <c:v>40.4</c:v>
                </c:pt>
                <c:pt idx="62">
                  <c:v>41.2</c:v>
                </c:pt>
                <c:pt idx="63">
                  <c:v>25.7</c:v>
                </c:pt>
                <c:pt idx="64">
                  <c:v>20.100000000000001</c:v>
                </c:pt>
                <c:pt idx="65">
                  <c:v>18.8</c:v>
                </c:pt>
                <c:pt idx="66">
                  <c:v>29.7</c:v>
                </c:pt>
                <c:pt idx="67">
                  <c:v>11.8</c:v>
                </c:pt>
                <c:pt idx="68">
                  <c:v>18.5</c:v>
                </c:pt>
                <c:pt idx="69">
                  <c:v>18.899999999999999</c:v>
                </c:pt>
                <c:pt idx="70">
                  <c:v>32.4</c:v>
                </c:pt>
                <c:pt idx="71">
                  <c:v>40.5</c:v>
                </c:pt>
                <c:pt idx="72">
                  <c:v>30.6</c:v>
                </c:pt>
                <c:pt idx="73">
                  <c:v>13.9</c:v>
                </c:pt>
                <c:pt idx="74">
                  <c:v>10.8</c:v>
                </c:pt>
                <c:pt idx="75">
                  <c:v>15</c:v>
                </c:pt>
                <c:pt idx="76">
                  <c:v>46</c:v>
                </c:pt>
                <c:pt idx="77">
                  <c:v>37.6</c:v>
                </c:pt>
                <c:pt idx="78">
                  <c:v>56.5</c:v>
                </c:pt>
                <c:pt idx="79">
                  <c:v>60.9</c:v>
                </c:pt>
                <c:pt idx="80">
                  <c:v>27.9</c:v>
                </c:pt>
                <c:pt idx="81">
                  <c:v>51.1</c:v>
                </c:pt>
                <c:pt idx="82">
                  <c:v>20.100000000000001</c:v>
                </c:pt>
                <c:pt idx="83">
                  <c:v>25.3</c:v>
                </c:pt>
                <c:pt idx="84">
                  <c:v>27.5</c:v>
                </c:pt>
                <c:pt idx="85">
                  <c:v>46.1</c:v>
                </c:pt>
                <c:pt idx="86">
                  <c:v>19.3</c:v>
                </c:pt>
                <c:pt idx="87">
                  <c:v>9.8000000000000007</c:v>
                </c:pt>
                <c:pt idx="88">
                  <c:v>17.7</c:v>
                </c:pt>
                <c:pt idx="89">
                  <c:v>16.399999999999999</c:v>
                </c:pt>
                <c:pt idx="90">
                  <c:v>59.2</c:v>
                </c:pt>
                <c:pt idx="91">
                  <c:v>49</c:v>
                </c:pt>
                <c:pt idx="92">
                  <c:v>38.299999999999997</c:v>
                </c:pt>
                <c:pt idx="93">
                  <c:v>0</c:v>
                </c:pt>
                <c:pt idx="94">
                  <c:v>49</c:v>
                </c:pt>
                <c:pt idx="95">
                  <c:v>65.400000000000006</c:v>
                </c:pt>
                <c:pt idx="96">
                  <c:v>10.7</c:v>
                </c:pt>
                <c:pt idx="97">
                  <c:v>15.1</c:v>
                </c:pt>
                <c:pt idx="98">
                  <c:v>20</c:v>
                </c:pt>
                <c:pt idx="99">
                  <c:v>19.600000000000001</c:v>
                </c:pt>
                <c:pt idx="100">
                  <c:v>15.5</c:v>
                </c:pt>
                <c:pt idx="101">
                  <c:v>17.399999999999999</c:v>
                </c:pt>
                <c:pt idx="102">
                  <c:v>31.2</c:v>
                </c:pt>
                <c:pt idx="103">
                  <c:v>22</c:v>
                </c:pt>
                <c:pt idx="104">
                  <c:v>16.7</c:v>
                </c:pt>
                <c:pt idx="105">
                  <c:v>7</c:v>
                </c:pt>
                <c:pt idx="106">
                  <c:v>55.6</c:v>
                </c:pt>
                <c:pt idx="107">
                  <c:v>64.400000000000006</c:v>
                </c:pt>
                <c:pt idx="108">
                  <c:v>53.3</c:v>
                </c:pt>
                <c:pt idx="109">
                  <c:v>46.9</c:v>
                </c:pt>
                <c:pt idx="110">
                  <c:v>28</c:v>
                </c:pt>
                <c:pt idx="111">
                  <c:v>26</c:v>
                </c:pt>
                <c:pt idx="112">
                  <c:v>26.6</c:v>
                </c:pt>
                <c:pt idx="113">
                  <c:v>0</c:v>
                </c:pt>
                <c:pt idx="114">
                  <c:v>26.5</c:v>
                </c:pt>
                <c:pt idx="115">
                  <c:v>45.2</c:v>
                </c:pt>
                <c:pt idx="116">
                  <c:v>17.8</c:v>
                </c:pt>
                <c:pt idx="117">
                  <c:v>17.600000000000001</c:v>
                </c:pt>
                <c:pt idx="118">
                  <c:v>16.600000000000001</c:v>
                </c:pt>
                <c:pt idx="119">
                  <c:v>27.7</c:v>
                </c:pt>
                <c:pt idx="120">
                  <c:v>36.700000000000003</c:v>
                </c:pt>
                <c:pt idx="121">
                  <c:v>14.8</c:v>
                </c:pt>
                <c:pt idx="122">
                  <c:v>16.3</c:v>
                </c:pt>
                <c:pt idx="123">
                  <c:v>24.4</c:v>
                </c:pt>
                <c:pt idx="124">
                  <c:v>61.8</c:v>
                </c:pt>
                <c:pt idx="125">
                  <c:v>70.400000000000006</c:v>
                </c:pt>
                <c:pt idx="126">
                  <c:v>39.299999999999997</c:v>
                </c:pt>
                <c:pt idx="127">
                  <c:v>40.5</c:v>
                </c:pt>
                <c:pt idx="128">
                  <c:v>26.6</c:v>
                </c:pt>
                <c:pt idx="129">
                  <c:v>9.9</c:v>
                </c:pt>
                <c:pt idx="130">
                  <c:v>24.1</c:v>
                </c:pt>
                <c:pt idx="131">
                  <c:v>20.6</c:v>
                </c:pt>
                <c:pt idx="132">
                  <c:v>23.7</c:v>
                </c:pt>
                <c:pt idx="133">
                  <c:v>16.8</c:v>
                </c:pt>
                <c:pt idx="134">
                  <c:v>21.1</c:v>
                </c:pt>
                <c:pt idx="135">
                  <c:v>31.5</c:v>
                </c:pt>
                <c:pt idx="136">
                  <c:v>24.5</c:v>
                </c:pt>
                <c:pt idx="137">
                  <c:v>45.4</c:v>
                </c:pt>
                <c:pt idx="138">
                  <c:v>34.1</c:v>
                </c:pt>
                <c:pt idx="139">
                  <c:v>19.3</c:v>
                </c:pt>
                <c:pt idx="140">
                  <c:v>21.8</c:v>
                </c:pt>
                <c:pt idx="141">
                  <c:v>12.2</c:v>
                </c:pt>
                <c:pt idx="142">
                  <c:v>4.7</c:v>
                </c:pt>
                <c:pt idx="143">
                  <c:v>5.8</c:v>
                </c:pt>
                <c:pt idx="144">
                  <c:v>12.1</c:v>
                </c:pt>
                <c:pt idx="145">
                  <c:v>11.6</c:v>
                </c:pt>
                <c:pt idx="146">
                  <c:v>12.3</c:v>
                </c:pt>
                <c:pt idx="147">
                  <c:v>10</c:v>
                </c:pt>
                <c:pt idx="148">
                  <c:v>13</c:v>
                </c:pt>
                <c:pt idx="149">
                  <c:v>13.3</c:v>
                </c:pt>
                <c:pt idx="150">
                  <c:v>15</c:v>
                </c:pt>
                <c:pt idx="151">
                  <c:v>21.8</c:v>
                </c:pt>
                <c:pt idx="152">
                  <c:v>35.1</c:v>
                </c:pt>
                <c:pt idx="153">
                  <c:v>42</c:v>
                </c:pt>
                <c:pt idx="154">
                  <c:v>21.4</c:v>
                </c:pt>
                <c:pt idx="155">
                  <c:v>21.3</c:v>
                </c:pt>
                <c:pt idx="156">
                  <c:v>7.9</c:v>
                </c:pt>
                <c:pt idx="157">
                  <c:v>6</c:v>
                </c:pt>
                <c:pt idx="158">
                  <c:v>9</c:v>
                </c:pt>
                <c:pt idx="159">
                  <c:v>9.1</c:v>
                </c:pt>
                <c:pt idx="160">
                  <c:v>12.8</c:v>
                </c:pt>
                <c:pt idx="161">
                  <c:v>8.8000000000000007</c:v>
                </c:pt>
                <c:pt idx="162">
                  <c:v>18.2</c:v>
                </c:pt>
                <c:pt idx="163">
                  <c:v>6.6</c:v>
                </c:pt>
                <c:pt idx="164">
                  <c:v>33.9</c:v>
                </c:pt>
                <c:pt idx="165">
                  <c:v>47.4</c:v>
                </c:pt>
                <c:pt idx="166">
                  <c:v>21.2</c:v>
                </c:pt>
                <c:pt idx="167">
                  <c:v>31.9</c:v>
                </c:pt>
                <c:pt idx="168">
                  <c:v>48.5</c:v>
                </c:pt>
                <c:pt idx="169">
                  <c:v>66.099999999999994</c:v>
                </c:pt>
                <c:pt idx="170">
                  <c:v>25.3</c:v>
                </c:pt>
                <c:pt idx="171">
                  <c:v>9.8000000000000007</c:v>
                </c:pt>
                <c:pt idx="172">
                  <c:v>36</c:v>
                </c:pt>
                <c:pt idx="173">
                  <c:v>33.799999999999997</c:v>
                </c:pt>
                <c:pt idx="174">
                  <c:v>0</c:v>
                </c:pt>
                <c:pt idx="175">
                  <c:v>0</c:v>
                </c:pt>
                <c:pt idx="176">
                  <c:v>38.700000000000003</c:v>
                </c:pt>
                <c:pt idx="177">
                  <c:v>38.5</c:v>
                </c:pt>
                <c:pt idx="178">
                  <c:v>28.6</c:v>
                </c:pt>
                <c:pt idx="179">
                  <c:v>0</c:v>
                </c:pt>
                <c:pt idx="180">
                  <c:v>0</c:v>
                </c:pt>
                <c:pt idx="181">
                  <c:v>0</c:v>
                </c:pt>
                <c:pt idx="182">
                  <c:v>0</c:v>
                </c:pt>
                <c:pt idx="183">
                  <c:v>0</c:v>
                </c:pt>
                <c:pt idx="184">
                  <c:v>42.5</c:v>
                </c:pt>
                <c:pt idx="185">
                  <c:v>43.8</c:v>
                </c:pt>
                <c:pt idx="186">
                  <c:v>53</c:v>
                </c:pt>
                <c:pt idx="187">
                  <c:v>74.400000000000006</c:v>
                </c:pt>
                <c:pt idx="188">
                  <c:v>95</c:v>
                </c:pt>
                <c:pt idx="189">
                  <c:v>71.599999999999994</c:v>
                </c:pt>
                <c:pt idx="190">
                  <c:v>43.8</c:v>
                </c:pt>
                <c:pt idx="191">
                  <c:v>38.6</c:v>
                </c:pt>
                <c:pt idx="192">
                  <c:v>46.1</c:v>
                </c:pt>
                <c:pt idx="193">
                  <c:v>57</c:v>
                </c:pt>
                <c:pt idx="194">
                  <c:v>74.2</c:v>
                </c:pt>
                <c:pt idx="195">
                  <c:v>69.400000000000006</c:v>
                </c:pt>
                <c:pt idx="196">
                  <c:v>64.400000000000006</c:v>
                </c:pt>
                <c:pt idx="197">
                  <c:v>70.099999999999994</c:v>
                </c:pt>
                <c:pt idx="198">
                  <c:v>81.900000000000006</c:v>
                </c:pt>
                <c:pt idx="199">
                  <c:v>63.7</c:v>
                </c:pt>
                <c:pt idx="200">
                  <c:v>47.4</c:v>
                </c:pt>
                <c:pt idx="201">
                  <c:v>40</c:v>
                </c:pt>
                <c:pt idx="202">
                  <c:v>40.799999999999997</c:v>
                </c:pt>
                <c:pt idx="203">
                  <c:v>59.6</c:v>
                </c:pt>
                <c:pt idx="204">
                  <c:v>33.9</c:v>
                </c:pt>
                <c:pt idx="205">
                  <c:v>31.6</c:v>
                </c:pt>
                <c:pt idx="206">
                  <c:v>29.6</c:v>
                </c:pt>
                <c:pt idx="207">
                  <c:v>26.4</c:v>
                </c:pt>
                <c:pt idx="208">
                  <c:v>25.9</c:v>
                </c:pt>
                <c:pt idx="209">
                  <c:v>25.7</c:v>
                </c:pt>
                <c:pt idx="210">
                  <c:v>25.5</c:v>
                </c:pt>
                <c:pt idx="211">
                  <c:v>24.9</c:v>
                </c:pt>
                <c:pt idx="212">
                  <c:v>19.899999999999999</c:v>
                </c:pt>
                <c:pt idx="213">
                  <c:v>14.7</c:v>
                </c:pt>
                <c:pt idx="214">
                  <c:v>18.600000000000001</c:v>
                </c:pt>
                <c:pt idx="215">
                  <c:v>24.4</c:v>
                </c:pt>
                <c:pt idx="216">
                  <c:v>21.4</c:v>
                </c:pt>
                <c:pt idx="217">
                  <c:v>27.6</c:v>
                </c:pt>
                <c:pt idx="218">
                  <c:v>0</c:v>
                </c:pt>
                <c:pt idx="219">
                  <c:v>16.8</c:v>
                </c:pt>
                <c:pt idx="220">
                  <c:v>51.3</c:v>
                </c:pt>
                <c:pt idx="221">
                  <c:v>72</c:v>
                </c:pt>
                <c:pt idx="222">
                  <c:v>70.900000000000006</c:v>
                </c:pt>
                <c:pt idx="223">
                  <c:v>81.099999999999994</c:v>
                </c:pt>
                <c:pt idx="224">
                  <c:v>63.9</c:v>
                </c:pt>
                <c:pt idx="225">
                  <c:v>74.7</c:v>
                </c:pt>
                <c:pt idx="226">
                  <c:v>75</c:v>
                </c:pt>
                <c:pt idx="227">
                  <c:v>65</c:v>
                </c:pt>
                <c:pt idx="228">
                  <c:v>70.400000000000006</c:v>
                </c:pt>
                <c:pt idx="229">
                  <c:v>75.3</c:v>
                </c:pt>
                <c:pt idx="230">
                  <c:v>90.1</c:v>
                </c:pt>
                <c:pt idx="231">
                  <c:v>87</c:v>
                </c:pt>
                <c:pt idx="232">
                  <c:v>91.9</c:v>
                </c:pt>
                <c:pt idx="233">
                  <c:v>88.5</c:v>
                </c:pt>
                <c:pt idx="234">
                  <c:v>78.099999999999994</c:v>
                </c:pt>
                <c:pt idx="235">
                  <c:v>83.6</c:v>
                </c:pt>
                <c:pt idx="236">
                  <c:v>71.5</c:v>
                </c:pt>
                <c:pt idx="237">
                  <c:v>62.2</c:v>
                </c:pt>
                <c:pt idx="238">
                  <c:v>73.2</c:v>
                </c:pt>
                <c:pt idx="239">
                  <c:v>63.1</c:v>
                </c:pt>
                <c:pt idx="240">
                  <c:v>69.8</c:v>
                </c:pt>
                <c:pt idx="241">
                  <c:v>72.3</c:v>
                </c:pt>
                <c:pt idx="242">
                  <c:v>80</c:v>
                </c:pt>
                <c:pt idx="243">
                  <c:v>77.099999999999994</c:v>
                </c:pt>
                <c:pt idx="244">
                  <c:v>70.8</c:v>
                </c:pt>
                <c:pt idx="245">
                  <c:v>56.2</c:v>
                </c:pt>
                <c:pt idx="246">
                  <c:v>42.9</c:v>
                </c:pt>
                <c:pt idx="247">
                  <c:v>78.7</c:v>
                </c:pt>
                <c:pt idx="248">
                  <c:v>76.099999999999994</c:v>
                </c:pt>
                <c:pt idx="249">
                  <c:v>70.8</c:v>
                </c:pt>
                <c:pt idx="250">
                  <c:v>89</c:v>
                </c:pt>
                <c:pt idx="251">
                  <c:v>84.7</c:v>
                </c:pt>
                <c:pt idx="252">
                  <c:v>72.599999999999994</c:v>
                </c:pt>
                <c:pt idx="253">
                  <c:v>70.900000000000006</c:v>
                </c:pt>
                <c:pt idx="254">
                  <c:v>67.599999999999994</c:v>
                </c:pt>
                <c:pt idx="255">
                  <c:v>71.2</c:v>
                </c:pt>
                <c:pt idx="256">
                  <c:v>72.599999999999994</c:v>
                </c:pt>
                <c:pt idx="257">
                  <c:v>65</c:v>
                </c:pt>
                <c:pt idx="258">
                  <c:v>55.6</c:v>
                </c:pt>
                <c:pt idx="259">
                  <c:v>49.8</c:v>
                </c:pt>
                <c:pt idx="260">
                  <c:v>55.8</c:v>
                </c:pt>
                <c:pt idx="261">
                  <c:v>62.7</c:v>
                </c:pt>
                <c:pt idx="262">
                  <c:v>66.5</c:v>
                </c:pt>
                <c:pt idx="263">
                  <c:v>59.9</c:v>
                </c:pt>
                <c:pt idx="264">
                  <c:v>47.1</c:v>
                </c:pt>
                <c:pt idx="265">
                  <c:v>39.4</c:v>
                </c:pt>
                <c:pt idx="266">
                  <c:v>63.2</c:v>
                </c:pt>
                <c:pt idx="267">
                  <c:v>62.6</c:v>
                </c:pt>
                <c:pt idx="268">
                  <c:v>45.7</c:v>
                </c:pt>
                <c:pt idx="269">
                  <c:v>37</c:v>
                </c:pt>
                <c:pt idx="270">
                  <c:v>47.6</c:v>
                </c:pt>
                <c:pt idx="271">
                  <c:v>63.5</c:v>
                </c:pt>
                <c:pt idx="272">
                  <c:v>45</c:v>
                </c:pt>
                <c:pt idx="273">
                  <c:v>29.3</c:v>
                </c:pt>
                <c:pt idx="274">
                  <c:v>45.9</c:v>
                </c:pt>
                <c:pt idx="275">
                  <c:v>37.9</c:v>
                </c:pt>
                <c:pt idx="276">
                  <c:v>47.9</c:v>
                </c:pt>
                <c:pt idx="277">
                  <c:v>35</c:v>
                </c:pt>
                <c:pt idx="278">
                  <c:v>47.1</c:v>
                </c:pt>
                <c:pt idx="279">
                  <c:v>47.5</c:v>
                </c:pt>
                <c:pt idx="280">
                  <c:v>45.6</c:v>
                </c:pt>
                <c:pt idx="281">
                  <c:v>34.700000000000003</c:v>
                </c:pt>
                <c:pt idx="282">
                  <c:v>0</c:v>
                </c:pt>
                <c:pt idx="283">
                  <c:v>41.8</c:v>
                </c:pt>
                <c:pt idx="284">
                  <c:v>42.3</c:v>
                </c:pt>
                <c:pt idx="285">
                  <c:v>46.9</c:v>
                </c:pt>
                <c:pt idx="286">
                  <c:v>46.6</c:v>
                </c:pt>
                <c:pt idx="287">
                  <c:v>38.9</c:v>
                </c:pt>
                <c:pt idx="288">
                  <c:v>37.5</c:v>
                </c:pt>
                <c:pt idx="289">
                  <c:v>35</c:v>
                </c:pt>
                <c:pt idx="290">
                  <c:v>38.9</c:v>
                </c:pt>
                <c:pt idx="291">
                  <c:v>37.299999999999997</c:v>
                </c:pt>
                <c:pt idx="292">
                  <c:v>50.1</c:v>
                </c:pt>
                <c:pt idx="293">
                  <c:v>52.8</c:v>
                </c:pt>
                <c:pt idx="294">
                  <c:v>36.6</c:v>
                </c:pt>
                <c:pt idx="295">
                  <c:v>41.8</c:v>
                </c:pt>
                <c:pt idx="296">
                  <c:v>54</c:v>
                </c:pt>
                <c:pt idx="297">
                  <c:v>30.8</c:v>
                </c:pt>
                <c:pt idx="298">
                  <c:v>18.5</c:v>
                </c:pt>
                <c:pt idx="299">
                  <c:v>19.7</c:v>
                </c:pt>
                <c:pt idx="300">
                  <c:v>17.899999999999999</c:v>
                </c:pt>
                <c:pt idx="301">
                  <c:v>23.8</c:v>
                </c:pt>
                <c:pt idx="302">
                  <c:v>40.700000000000003</c:v>
                </c:pt>
                <c:pt idx="303">
                  <c:v>28.9</c:v>
                </c:pt>
                <c:pt idx="304">
                  <c:v>22.8</c:v>
                </c:pt>
                <c:pt idx="305">
                  <c:v>13.2</c:v>
                </c:pt>
                <c:pt idx="306">
                  <c:v>19.899999999999999</c:v>
                </c:pt>
                <c:pt idx="307">
                  <c:v>19</c:v>
                </c:pt>
                <c:pt idx="308">
                  <c:v>16</c:v>
                </c:pt>
                <c:pt idx="309">
                  <c:v>15</c:v>
                </c:pt>
                <c:pt idx="310">
                  <c:v>11.6</c:v>
                </c:pt>
                <c:pt idx="311">
                  <c:v>7.8</c:v>
                </c:pt>
                <c:pt idx="312">
                  <c:v>6.5</c:v>
                </c:pt>
                <c:pt idx="313">
                  <c:v>11.6</c:v>
                </c:pt>
                <c:pt idx="314">
                  <c:v>10.6</c:v>
                </c:pt>
                <c:pt idx="315">
                  <c:v>14.8</c:v>
                </c:pt>
                <c:pt idx="316">
                  <c:v>15.4</c:v>
                </c:pt>
                <c:pt idx="317">
                  <c:v>35.299999999999997</c:v>
                </c:pt>
                <c:pt idx="318">
                  <c:v>21.2</c:v>
                </c:pt>
                <c:pt idx="319">
                  <c:v>29.7</c:v>
                </c:pt>
                <c:pt idx="320">
                  <c:v>36.700000000000003</c:v>
                </c:pt>
                <c:pt idx="321">
                  <c:v>24.8</c:v>
                </c:pt>
                <c:pt idx="322">
                  <c:v>12.1</c:v>
                </c:pt>
                <c:pt idx="323">
                  <c:v>13.1</c:v>
                </c:pt>
                <c:pt idx="324">
                  <c:v>7.1</c:v>
                </c:pt>
                <c:pt idx="325">
                  <c:v>3.8</c:v>
                </c:pt>
                <c:pt idx="326">
                  <c:v>8.6999999999999993</c:v>
                </c:pt>
                <c:pt idx="327">
                  <c:v>9.6</c:v>
                </c:pt>
                <c:pt idx="328">
                  <c:v>3.8</c:v>
                </c:pt>
                <c:pt idx="329">
                  <c:v>20.3</c:v>
                </c:pt>
                <c:pt idx="330">
                  <c:v>20.5</c:v>
                </c:pt>
                <c:pt idx="331">
                  <c:v>32.9</c:v>
                </c:pt>
                <c:pt idx="332">
                  <c:v>15.1</c:v>
                </c:pt>
                <c:pt idx="333">
                  <c:v>14.1</c:v>
                </c:pt>
                <c:pt idx="334">
                  <c:v>12.1</c:v>
                </c:pt>
                <c:pt idx="335">
                  <c:v>13.1</c:v>
                </c:pt>
                <c:pt idx="336">
                  <c:v>4.2</c:v>
                </c:pt>
                <c:pt idx="337">
                  <c:v>21.1</c:v>
                </c:pt>
                <c:pt idx="338">
                  <c:v>32.799999999999997</c:v>
                </c:pt>
                <c:pt idx="339">
                  <c:v>6.6</c:v>
                </c:pt>
                <c:pt idx="340">
                  <c:v>9.4</c:v>
                </c:pt>
                <c:pt idx="341">
                  <c:v>26.6</c:v>
                </c:pt>
                <c:pt idx="342">
                  <c:v>18.600000000000001</c:v>
                </c:pt>
                <c:pt idx="343">
                  <c:v>44.1</c:v>
                </c:pt>
                <c:pt idx="344">
                  <c:v>29</c:v>
                </c:pt>
                <c:pt idx="345">
                  <c:v>12.8</c:v>
                </c:pt>
                <c:pt idx="346">
                  <c:v>4.9000000000000004</c:v>
                </c:pt>
                <c:pt idx="347">
                  <c:v>12</c:v>
                </c:pt>
                <c:pt idx="348">
                  <c:v>24.3</c:v>
                </c:pt>
                <c:pt idx="349">
                  <c:v>18.600000000000001</c:v>
                </c:pt>
                <c:pt idx="350">
                  <c:v>11</c:v>
                </c:pt>
                <c:pt idx="351">
                  <c:v>5.5</c:v>
                </c:pt>
                <c:pt idx="352">
                  <c:v>5.8</c:v>
                </c:pt>
                <c:pt idx="353">
                  <c:v>12</c:v>
                </c:pt>
                <c:pt idx="354">
                  <c:v>7.5</c:v>
                </c:pt>
                <c:pt idx="355">
                  <c:v>26.4</c:v>
                </c:pt>
                <c:pt idx="356">
                  <c:v>35</c:v>
                </c:pt>
                <c:pt idx="357">
                  <c:v>30.1</c:v>
                </c:pt>
                <c:pt idx="358">
                  <c:v>35.799999999999997</c:v>
                </c:pt>
                <c:pt idx="359">
                  <c:v>36.799999999999997</c:v>
                </c:pt>
                <c:pt idx="360">
                  <c:v>22.1</c:v>
                </c:pt>
                <c:pt idx="361">
                  <c:v>24.4</c:v>
                </c:pt>
                <c:pt idx="362">
                  <c:v>24.1</c:v>
                </c:pt>
                <c:pt idx="363">
                  <c:v>28.6</c:v>
                </c:pt>
                <c:pt idx="364">
                  <c:v>46.6</c:v>
                </c:pt>
              </c:numCache>
            </c:numRef>
          </c:val>
          <c:smooth val="0"/>
          <c:extLst>
            <c:ext xmlns:c16="http://schemas.microsoft.com/office/drawing/2014/chart" uri="{C3380CC4-5D6E-409C-BE32-E72D297353CC}">
              <c16:uniqueId val="{00000003-45F3-46BF-BD60-FF320CD4C9F4}"/>
            </c:ext>
          </c:extLst>
        </c:ser>
        <c:ser>
          <c:idx val="4"/>
          <c:order val="4"/>
          <c:tx>
            <c:strRef>
              <c:f>'Várpalotai mérőállomás'!$F$4</c:f>
              <c:strCache>
                <c:ptCount val="1"/>
                <c:pt idx="0">
                  <c:v>NOX (ug/m3)</c:v>
                </c:pt>
              </c:strCache>
            </c:strRef>
          </c:tx>
          <c:spPr>
            <a:ln w="28575" cap="rnd">
              <a:solidFill>
                <a:schemeClr val="accent5"/>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mérőállomás'!$F$5:$F$369</c:f>
              <c:numCache>
                <c:formatCode>General</c:formatCode>
                <c:ptCount val="365"/>
                <c:pt idx="0">
                  <c:v>35.6</c:v>
                </c:pt>
                <c:pt idx="1">
                  <c:v>30.5</c:v>
                </c:pt>
                <c:pt idx="2">
                  <c:v>40.1</c:v>
                </c:pt>
                <c:pt idx="3">
                  <c:v>88.1</c:v>
                </c:pt>
                <c:pt idx="4">
                  <c:v>79.400000000000006</c:v>
                </c:pt>
                <c:pt idx="5">
                  <c:v>69.3</c:v>
                </c:pt>
                <c:pt idx="6">
                  <c:v>49.2</c:v>
                </c:pt>
                <c:pt idx="7">
                  <c:v>87</c:v>
                </c:pt>
                <c:pt idx="8">
                  <c:v>90.7</c:v>
                </c:pt>
                <c:pt idx="9">
                  <c:v>91</c:v>
                </c:pt>
                <c:pt idx="10">
                  <c:v>37.200000000000003</c:v>
                </c:pt>
                <c:pt idx="11">
                  <c:v>39.1</c:v>
                </c:pt>
                <c:pt idx="12">
                  <c:v>59.3</c:v>
                </c:pt>
                <c:pt idx="13">
                  <c:v>42.9</c:v>
                </c:pt>
                <c:pt idx="14">
                  <c:v>57.7</c:v>
                </c:pt>
                <c:pt idx="15">
                  <c:v>73.5</c:v>
                </c:pt>
                <c:pt idx="16">
                  <c:v>54.1</c:v>
                </c:pt>
                <c:pt idx="17">
                  <c:v>19.2</c:v>
                </c:pt>
                <c:pt idx="18">
                  <c:v>57.7</c:v>
                </c:pt>
                <c:pt idx="19">
                  <c:v>37.9</c:v>
                </c:pt>
                <c:pt idx="20">
                  <c:v>26.8</c:v>
                </c:pt>
                <c:pt idx="21">
                  <c:v>51.9</c:v>
                </c:pt>
                <c:pt idx="22">
                  <c:v>98.4</c:v>
                </c:pt>
                <c:pt idx="23">
                  <c:v>95.8</c:v>
                </c:pt>
                <c:pt idx="24">
                  <c:v>87.4</c:v>
                </c:pt>
                <c:pt idx="25">
                  <c:v>86.6</c:v>
                </c:pt>
                <c:pt idx="26">
                  <c:v>39.700000000000003</c:v>
                </c:pt>
                <c:pt idx="27">
                  <c:v>31.5</c:v>
                </c:pt>
                <c:pt idx="28">
                  <c:v>99.2</c:v>
                </c:pt>
                <c:pt idx="29">
                  <c:v>20.2</c:v>
                </c:pt>
                <c:pt idx="30">
                  <c:v>104.5</c:v>
                </c:pt>
                <c:pt idx="31">
                  <c:v>33.700000000000003</c:v>
                </c:pt>
                <c:pt idx="32">
                  <c:v>8.8000000000000007</c:v>
                </c:pt>
                <c:pt idx="33">
                  <c:v>15.6</c:v>
                </c:pt>
                <c:pt idx="34">
                  <c:v>13.8</c:v>
                </c:pt>
                <c:pt idx="35">
                  <c:v>29.8</c:v>
                </c:pt>
                <c:pt idx="36">
                  <c:v>80.099999999999994</c:v>
                </c:pt>
                <c:pt idx="37">
                  <c:v>71.3</c:v>
                </c:pt>
                <c:pt idx="38">
                  <c:v>19.7</c:v>
                </c:pt>
                <c:pt idx="39">
                  <c:v>52.4</c:v>
                </c:pt>
                <c:pt idx="40">
                  <c:v>27.2</c:v>
                </c:pt>
                <c:pt idx="41">
                  <c:v>36</c:v>
                </c:pt>
                <c:pt idx="42">
                  <c:v>124</c:v>
                </c:pt>
                <c:pt idx="43">
                  <c:v>23</c:v>
                </c:pt>
                <c:pt idx="44">
                  <c:v>14.2</c:v>
                </c:pt>
                <c:pt idx="45">
                  <c:v>41.5</c:v>
                </c:pt>
                <c:pt idx="46">
                  <c:v>78.599999999999994</c:v>
                </c:pt>
                <c:pt idx="47">
                  <c:v>60.3</c:v>
                </c:pt>
                <c:pt idx="48">
                  <c:v>14.5</c:v>
                </c:pt>
                <c:pt idx="49">
                  <c:v>71.900000000000006</c:v>
                </c:pt>
                <c:pt idx="50">
                  <c:v>65.8</c:v>
                </c:pt>
                <c:pt idx="51">
                  <c:v>21</c:v>
                </c:pt>
                <c:pt idx="52">
                  <c:v>32.9</c:v>
                </c:pt>
                <c:pt idx="53">
                  <c:v>43.5</c:v>
                </c:pt>
                <c:pt idx="54">
                  <c:v>13</c:v>
                </c:pt>
                <c:pt idx="55">
                  <c:v>9.8000000000000007</c:v>
                </c:pt>
                <c:pt idx="56">
                  <c:v>17.899999999999999</c:v>
                </c:pt>
                <c:pt idx="57">
                  <c:v>14.5</c:v>
                </c:pt>
                <c:pt idx="58">
                  <c:v>24.1</c:v>
                </c:pt>
                <c:pt idx="59">
                  <c:v>91.6</c:v>
                </c:pt>
                <c:pt idx="60">
                  <c:v>86.1</c:v>
                </c:pt>
                <c:pt idx="61">
                  <c:v>49.5</c:v>
                </c:pt>
                <c:pt idx="62">
                  <c:v>52.6</c:v>
                </c:pt>
                <c:pt idx="63">
                  <c:v>93.5</c:v>
                </c:pt>
                <c:pt idx="64">
                  <c:v>87.1</c:v>
                </c:pt>
                <c:pt idx="65">
                  <c:v>77.8</c:v>
                </c:pt>
                <c:pt idx="66">
                  <c:v>42.5</c:v>
                </c:pt>
                <c:pt idx="67">
                  <c:v>80.900000000000006</c:v>
                </c:pt>
                <c:pt idx="68">
                  <c:v>71.900000000000006</c:v>
                </c:pt>
                <c:pt idx="69">
                  <c:v>48</c:v>
                </c:pt>
                <c:pt idx="70">
                  <c:v>39</c:v>
                </c:pt>
                <c:pt idx="71">
                  <c:v>31.9</c:v>
                </c:pt>
                <c:pt idx="72">
                  <c:v>28.7</c:v>
                </c:pt>
                <c:pt idx="73">
                  <c:v>46.6</c:v>
                </c:pt>
                <c:pt idx="74">
                  <c:v>67.5</c:v>
                </c:pt>
                <c:pt idx="75">
                  <c:v>53.3</c:v>
                </c:pt>
                <c:pt idx="76">
                  <c:v>17.5</c:v>
                </c:pt>
                <c:pt idx="77">
                  <c:v>37.4</c:v>
                </c:pt>
                <c:pt idx="78">
                  <c:v>15.9</c:v>
                </c:pt>
                <c:pt idx="79">
                  <c:v>13.8</c:v>
                </c:pt>
                <c:pt idx="80">
                  <c:v>53</c:v>
                </c:pt>
                <c:pt idx="81">
                  <c:v>22</c:v>
                </c:pt>
                <c:pt idx="82">
                  <c:v>59.7</c:v>
                </c:pt>
                <c:pt idx="83">
                  <c:v>46.6</c:v>
                </c:pt>
                <c:pt idx="84">
                  <c:v>57.8</c:v>
                </c:pt>
                <c:pt idx="85">
                  <c:v>30.3</c:v>
                </c:pt>
                <c:pt idx="86">
                  <c:v>73.2</c:v>
                </c:pt>
                <c:pt idx="87">
                  <c:v>108.2</c:v>
                </c:pt>
                <c:pt idx="88">
                  <c:v>47.2</c:v>
                </c:pt>
                <c:pt idx="89">
                  <c:v>44.1</c:v>
                </c:pt>
                <c:pt idx="90">
                  <c:v>10.1</c:v>
                </c:pt>
                <c:pt idx="91">
                  <c:v>16.3</c:v>
                </c:pt>
                <c:pt idx="92">
                  <c:v>32.9</c:v>
                </c:pt>
                <c:pt idx="93">
                  <c:v>0</c:v>
                </c:pt>
                <c:pt idx="94">
                  <c:v>19.7</c:v>
                </c:pt>
                <c:pt idx="95">
                  <c:v>7.7</c:v>
                </c:pt>
                <c:pt idx="96">
                  <c:v>54.2</c:v>
                </c:pt>
                <c:pt idx="97">
                  <c:v>36.6</c:v>
                </c:pt>
                <c:pt idx="98">
                  <c:v>50.5</c:v>
                </c:pt>
                <c:pt idx="99">
                  <c:v>44.9</c:v>
                </c:pt>
                <c:pt idx="100">
                  <c:v>45</c:v>
                </c:pt>
                <c:pt idx="101">
                  <c:v>53.7</c:v>
                </c:pt>
                <c:pt idx="102">
                  <c:v>38.1</c:v>
                </c:pt>
                <c:pt idx="103">
                  <c:v>41.2</c:v>
                </c:pt>
                <c:pt idx="104">
                  <c:v>39.1</c:v>
                </c:pt>
                <c:pt idx="105">
                  <c:v>76</c:v>
                </c:pt>
                <c:pt idx="106">
                  <c:v>11.2</c:v>
                </c:pt>
                <c:pt idx="107">
                  <c:v>11.3</c:v>
                </c:pt>
                <c:pt idx="108">
                  <c:v>39.200000000000003</c:v>
                </c:pt>
                <c:pt idx="109">
                  <c:v>24.2</c:v>
                </c:pt>
                <c:pt idx="110">
                  <c:v>38.9</c:v>
                </c:pt>
                <c:pt idx="111">
                  <c:v>35</c:v>
                </c:pt>
                <c:pt idx="112">
                  <c:v>46.8</c:v>
                </c:pt>
                <c:pt idx="113">
                  <c:v>0</c:v>
                </c:pt>
                <c:pt idx="114">
                  <c:v>46.8</c:v>
                </c:pt>
                <c:pt idx="115">
                  <c:v>21.9</c:v>
                </c:pt>
                <c:pt idx="116">
                  <c:v>49</c:v>
                </c:pt>
                <c:pt idx="117">
                  <c:v>36.700000000000003</c:v>
                </c:pt>
                <c:pt idx="118">
                  <c:v>29.4</c:v>
                </c:pt>
                <c:pt idx="119">
                  <c:v>27.9</c:v>
                </c:pt>
                <c:pt idx="120">
                  <c:v>18.600000000000001</c:v>
                </c:pt>
                <c:pt idx="121">
                  <c:v>67.599999999999994</c:v>
                </c:pt>
                <c:pt idx="122">
                  <c:v>62.3</c:v>
                </c:pt>
                <c:pt idx="123">
                  <c:v>52.4</c:v>
                </c:pt>
                <c:pt idx="124">
                  <c:v>10.9</c:v>
                </c:pt>
                <c:pt idx="125">
                  <c:v>9.4</c:v>
                </c:pt>
                <c:pt idx="126">
                  <c:v>23.5</c:v>
                </c:pt>
                <c:pt idx="127">
                  <c:v>25.9</c:v>
                </c:pt>
                <c:pt idx="128">
                  <c:v>47.1</c:v>
                </c:pt>
                <c:pt idx="129">
                  <c:v>58.2</c:v>
                </c:pt>
                <c:pt idx="130">
                  <c:v>26.6</c:v>
                </c:pt>
                <c:pt idx="131">
                  <c:v>33.4</c:v>
                </c:pt>
                <c:pt idx="132">
                  <c:v>37.6</c:v>
                </c:pt>
                <c:pt idx="133">
                  <c:v>55.3</c:v>
                </c:pt>
                <c:pt idx="134">
                  <c:v>38.9</c:v>
                </c:pt>
                <c:pt idx="135">
                  <c:v>27</c:v>
                </c:pt>
                <c:pt idx="136">
                  <c:v>34.700000000000003</c:v>
                </c:pt>
                <c:pt idx="137">
                  <c:v>15.2</c:v>
                </c:pt>
                <c:pt idx="138">
                  <c:v>16.899999999999999</c:v>
                </c:pt>
                <c:pt idx="139">
                  <c:v>24</c:v>
                </c:pt>
                <c:pt idx="140">
                  <c:v>26.6</c:v>
                </c:pt>
                <c:pt idx="141">
                  <c:v>49.1</c:v>
                </c:pt>
                <c:pt idx="142">
                  <c:v>74</c:v>
                </c:pt>
                <c:pt idx="143">
                  <c:v>50.1</c:v>
                </c:pt>
                <c:pt idx="144">
                  <c:v>41.4</c:v>
                </c:pt>
                <c:pt idx="145">
                  <c:v>39.700000000000003</c:v>
                </c:pt>
                <c:pt idx="146">
                  <c:v>35.4</c:v>
                </c:pt>
                <c:pt idx="147">
                  <c:v>52.1</c:v>
                </c:pt>
                <c:pt idx="148">
                  <c:v>50.6</c:v>
                </c:pt>
                <c:pt idx="149">
                  <c:v>49.6</c:v>
                </c:pt>
                <c:pt idx="150">
                  <c:v>52.6</c:v>
                </c:pt>
                <c:pt idx="151">
                  <c:v>48.1</c:v>
                </c:pt>
                <c:pt idx="152">
                  <c:v>18.100000000000001</c:v>
                </c:pt>
                <c:pt idx="153">
                  <c:v>13.4</c:v>
                </c:pt>
                <c:pt idx="154">
                  <c:v>31.9</c:v>
                </c:pt>
                <c:pt idx="155">
                  <c:v>34.4</c:v>
                </c:pt>
                <c:pt idx="156">
                  <c:v>57.6</c:v>
                </c:pt>
                <c:pt idx="157">
                  <c:v>62.9</c:v>
                </c:pt>
                <c:pt idx="158">
                  <c:v>68.400000000000006</c:v>
                </c:pt>
                <c:pt idx="159">
                  <c:v>42.4</c:v>
                </c:pt>
                <c:pt idx="160">
                  <c:v>33</c:v>
                </c:pt>
                <c:pt idx="161">
                  <c:v>54.7</c:v>
                </c:pt>
                <c:pt idx="162">
                  <c:v>29.9</c:v>
                </c:pt>
                <c:pt idx="163">
                  <c:v>46</c:v>
                </c:pt>
                <c:pt idx="164">
                  <c:v>14.6</c:v>
                </c:pt>
                <c:pt idx="165">
                  <c:v>11.8</c:v>
                </c:pt>
                <c:pt idx="166">
                  <c:v>27.5</c:v>
                </c:pt>
                <c:pt idx="167">
                  <c:v>18.3</c:v>
                </c:pt>
                <c:pt idx="168">
                  <c:v>15.3</c:v>
                </c:pt>
                <c:pt idx="169">
                  <c:v>10.199999999999999</c:v>
                </c:pt>
                <c:pt idx="170">
                  <c:v>33.6</c:v>
                </c:pt>
                <c:pt idx="171">
                  <c:v>39.4</c:v>
                </c:pt>
                <c:pt idx="172">
                  <c:v>18.7</c:v>
                </c:pt>
                <c:pt idx="173">
                  <c:v>11.8</c:v>
                </c:pt>
                <c:pt idx="174">
                  <c:v>0</c:v>
                </c:pt>
                <c:pt idx="175">
                  <c:v>0</c:v>
                </c:pt>
                <c:pt idx="176">
                  <c:v>27.6</c:v>
                </c:pt>
                <c:pt idx="177">
                  <c:v>15.7</c:v>
                </c:pt>
                <c:pt idx="178">
                  <c:v>14.3</c:v>
                </c:pt>
                <c:pt idx="179">
                  <c:v>24.4</c:v>
                </c:pt>
                <c:pt idx="180">
                  <c:v>10.4</c:v>
                </c:pt>
                <c:pt idx="181">
                  <c:v>6.3</c:v>
                </c:pt>
                <c:pt idx="182">
                  <c:v>28.9</c:v>
                </c:pt>
                <c:pt idx="183">
                  <c:v>36.6</c:v>
                </c:pt>
                <c:pt idx="184">
                  <c:v>36.799999999999997</c:v>
                </c:pt>
                <c:pt idx="185">
                  <c:v>33.700000000000003</c:v>
                </c:pt>
                <c:pt idx="186">
                  <c:v>25.5</c:v>
                </c:pt>
                <c:pt idx="187">
                  <c:v>9.5</c:v>
                </c:pt>
                <c:pt idx="188">
                  <c:v>7</c:v>
                </c:pt>
                <c:pt idx="189">
                  <c:v>13.8</c:v>
                </c:pt>
                <c:pt idx="190">
                  <c:v>28.9</c:v>
                </c:pt>
                <c:pt idx="191">
                  <c:v>24.9</c:v>
                </c:pt>
                <c:pt idx="192">
                  <c:v>22.4</c:v>
                </c:pt>
                <c:pt idx="193">
                  <c:v>19</c:v>
                </c:pt>
                <c:pt idx="194">
                  <c:v>9.8000000000000007</c:v>
                </c:pt>
                <c:pt idx="195">
                  <c:v>8.6</c:v>
                </c:pt>
                <c:pt idx="196">
                  <c:v>24</c:v>
                </c:pt>
                <c:pt idx="197">
                  <c:v>14.2</c:v>
                </c:pt>
                <c:pt idx="198">
                  <c:v>9.9</c:v>
                </c:pt>
                <c:pt idx="199">
                  <c:v>8.8000000000000007</c:v>
                </c:pt>
                <c:pt idx="200">
                  <c:v>13.1</c:v>
                </c:pt>
                <c:pt idx="201">
                  <c:v>31.2</c:v>
                </c:pt>
                <c:pt idx="202">
                  <c:v>22.8</c:v>
                </c:pt>
                <c:pt idx="203">
                  <c:v>11.9</c:v>
                </c:pt>
                <c:pt idx="204">
                  <c:v>8.8000000000000007</c:v>
                </c:pt>
                <c:pt idx="205">
                  <c:v>11</c:v>
                </c:pt>
                <c:pt idx="206">
                  <c:v>16.600000000000001</c:v>
                </c:pt>
                <c:pt idx="207">
                  <c:v>43.8</c:v>
                </c:pt>
                <c:pt idx="208">
                  <c:v>41.8</c:v>
                </c:pt>
                <c:pt idx="209">
                  <c:v>23.3</c:v>
                </c:pt>
                <c:pt idx="210">
                  <c:v>28.3</c:v>
                </c:pt>
                <c:pt idx="211">
                  <c:v>28.9</c:v>
                </c:pt>
                <c:pt idx="212">
                  <c:v>28.9</c:v>
                </c:pt>
                <c:pt idx="213">
                  <c:v>54.5</c:v>
                </c:pt>
                <c:pt idx="214">
                  <c:v>47.9</c:v>
                </c:pt>
                <c:pt idx="215">
                  <c:v>34.700000000000003</c:v>
                </c:pt>
                <c:pt idx="216">
                  <c:v>28.3</c:v>
                </c:pt>
                <c:pt idx="217">
                  <c:v>24.1</c:v>
                </c:pt>
                <c:pt idx="218">
                  <c:v>41.6</c:v>
                </c:pt>
                <c:pt idx="219">
                  <c:v>30.7</c:v>
                </c:pt>
                <c:pt idx="220">
                  <c:v>45.6</c:v>
                </c:pt>
                <c:pt idx="221">
                  <c:v>39.6</c:v>
                </c:pt>
                <c:pt idx="222">
                  <c:v>13.1</c:v>
                </c:pt>
                <c:pt idx="223">
                  <c:v>15.7</c:v>
                </c:pt>
                <c:pt idx="224">
                  <c:v>38.9</c:v>
                </c:pt>
                <c:pt idx="225">
                  <c:v>13</c:v>
                </c:pt>
                <c:pt idx="226">
                  <c:v>12.8</c:v>
                </c:pt>
                <c:pt idx="227">
                  <c:v>38.5</c:v>
                </c:pt>
                <c:pt idx="228">
                  <c:v>35.200000000000003</c:v>
                </c:pt>
                <c:pt idx="229">
                  <c:v>31.4</c:v>
                </c:pt>
                <c:pt idx="230">
                  <c:v>25.6</c:v>
                </c:pt>
                <c:pt idx="231">
                  <c:v>19.8</c:v>
                </c:pt>
                <c:pt idx="232">
                  <c:v>34.4</c:v>
                </c:pt>
                <c:pt idx="233">
                  <c:v>42.3</c:v>
                </c:pt>
                <c:pt idx="234">
                  <c:v>49.4</c:v>
                </c:pt>
                <c:pt idx="235">
                  <c:v>46.4</c:v>
                </c:pt>
                <c:pt idx="236">
                  <c:v>7.4</c:v>
                </c:pt>
                <c:pt idx="237">
                  <c:v>4.8</c:v>
                </c:pt>
                <c:pt idx="238">
                  <c:v>15.3</c:v>
                </c:pt>
                <c:pt idx="239">
                  <c:v>52.9</c:v>
                </c:pt>
                <c:pt idx="240">
                  <c:v>56.9</c:v>
                </c:pt>
                <c:pt idx="241">
                  <c:v>48.4</c:v>
                </c:pt>
                <c:pt idx="242">
                  <c:v>24.2</c:v>
                </c:pt>
                <c:pt idx="243">
                  <c:v>27.5</c:v>
                </c:pt>
                <c:pt idx="244">
                  <c:v>14.9</c:v>
                </c:pt>
                <c:pt idx="245">
                  <c:v>39.299999999999997</c:v>
                </c:pt>
                <c:pt idx="246">
                  <c:v>60.8</c:v>
                </c:pt>
                <c:pt idx="247">
                  <c:v>26.2</c:v>
                </c:pt>
                <c:pt idx="248">
                  <c:v>34</c:v>
                </c:pt>
                <c:pt idx="249">
                  <c:v>49.8</c:v>
                </c:pt>
                <c:pt idx="250">
                  <c:v>7.1</c:v>
                </c:pt>
                <c:pt idx="251">
                  <c:v>10.8</c:v>
                </c:pt>
                <c:pt idx="252">
                  <c:v>29.5</c:v>
                </c:pt>
                <c:pt idx="253">
                  <c:v>48.8</c:v>
                </c:pt>
                <c:pt idx="254">
                  <c:v>72.8</c:v>
                </c:pt>
                <c:pt idx="255">
                  <c:v>64.3</c:v>
                </c:pt>
                <c:pt idx="256">
                  <c:v>32.9</c:v>
                </c:pt>
                <c:pt idx="257">
                  <c:v>10.3</c:v>
                </c:pt>
                <c:pt idx="258">
                  <c:v>32.5</c:v>
                </c:pt>
                <c:pt idx="259">
                  <c:v>49.4</c:v>
                </c:pt>
                <c:pt idx="260">
                  <c:v>51</c:v>
                </c:pt>
                <c:pt idx="261">
                  <c:v>68</c:v>
                </c:pt>
                <c:pt idx="262">
                  <c:v>74.900000000000006</c:v>
                </c:pt>
                <c:pt idx="263">
                  <c:v>47.3</c:v>
                </c:pt>
                <c:pt idx="264">
                  <c:v>20.5</c:v>
                </c:pt>
                <c:pt idx="265">
                  <c:v>37.700000000000003</c:v>
                </c:pt>
                <c:pt idx="266">
                  <c:v>9.1999999999999993</c:v>
                </c:pt>
                <c:pt idx="267">
                  <c:v>8.9</c:v>
                </c:pt>
                <c:pt idx="268">
                  <c:v>55.5</c:v>
                </c:pt>
                <c:pt idx="269">
                  <c:v>65.599999999999994</c:v>
                </c:pt>
                <c:pt idx="270">
                  <c:v>72.099999999999994</c:v>
                </c:pt>
                <c:pt idx="271">
                  <c:v>8.1999999999999993</c:v>
                </c:pt>
                <c:pt idx="272">
                  <c:v>35.299999999999997</c:v>
                </c:pt>
                <c:pt idx="273">
                  <c:v>67.599999999999994</c:v>
                </c:pt>
                <c:pt idx="274">
                  <c:v>20.6</c:v>
                </c:pt>
                <c:pt idx="275">
                  <c:v>34.200000000000003</c:v>
                </c:pt>
                <c:pt idx="276">
                  <c:v>40.6</c:v>
                </c:pt>
                <c:pt idx="277">
                  <c:v>69.8</c:v>
                </c:pt>
                <c:pt idx="278">
                  <c:v>55.7</c:v>
                </c:pt>
                <c:pt idx="279">
                  <c:v>37.1</c:v>
                </c:pt>
                <c:pt idx="280">
                  <c:v>67.3</c:v>
                </c:pt>
                <c:pt idx="281">
                  <c:v>102.7</c:v>
                </c:pt>
                <c:pt idx="282">
                  <c:v>78</c:v>
                </c:pt>
                <c:pt idx="283">
                  <c:v>77.7</c:v>
                </c:pt>
                <c:pt idx="284">
                  <c:v>67.7</c:v>
                </c:pt>
                <c:pt idx="285">
                  <c:v>71.8</c:v>
                </c:pt>
                <c:pt idx="286">
                  <c:v>43.6</c:v>
                </c:pt>
                <c:pt idx="287">
                  <c:v>89.4</c:v>
                </c:pt>
                <c:pt idx="288">
                  <c:v>65.900000000000006</c:v>
                </c:pt>
                <c:pt idx="289">
                  <c:v>81</c:v>
                </c:pt>
                <c:pt idx="290">
                  <c:v>70.3</c:v>
                </c:pt>
                <c:pt idx="291">
                  <c:v>80.099999999999994</c:v>
                </c:pt>
                <c:pt idx="292">
                  <c:v>40.1</c:v>
                </c:pt>
                <c:pt idx="293">
                  <c:v>11.9</c:v>
                </c:pt>
                <c:pt idx="294">
                  <c:v>28.5</c:v>
                </c:pt>
                <c:pt idx="295">
                  <c:v>19.899999999999999</c:v>
                </c:pt>
                <c:pt idx="296">
                  <c:v>12.1</c:v>
                </c:pt>
                <c:pt idx="297">
                  <c:v>51.5</c:v>
                </c:pt>
                <c:pt idx="298">
                  <c:v>80.3</c:v>
                </c:pt>
                <c:pt idx="299">
                  <c:v>57.5</c:v>
                </c:pt>
                <c:pt idx="300">
                  <c:v>60.7</c:v>
                </c:pt>
                <c:pt idx="301">
                  <c:v>74.099999999999994</c:v>
                </c:pt>
                <c:pt idx="302">
                  <c:v>49.2</c:v>
                </c:pt>
                <c:pt idx="303">
                  <c:v>69.2</c:v>
                </c:pt>
                <c:pt idx="304">
                  <c:v>54.5</c:v>
                </c:pt>
                <c:pt idx="305">
                  <c:v>82.5</c:v>
                </c:pt>
                <c:pt idx="306">
                  <c:v>44.3</c:v>
                </c:pt>
                <c:pt idx="307">
                  <c:v>52.6</c:v>
                </c:pt>
                <c:pt idx="308">
                  <c:v>65.8</c:v>
                </c:pt>
                <c:pt idx="309">
                  <c:v>75.099999999999994</c:v>
                </c:pt>
                <c:pt idx="310">
                  <c:v>73.2</c:v>
                </c:pt>
                <c:pt idx="311">
                  <c:v>103.8</c:v>
                </c:pt>
                <c:pt idx="312">
                  <c:v>125.9</c:v>
                </c:pt>
                <c:pt idx="313">
                  <c:v>82.1</c:v>
                </c:pt>
                <c:pt idx="314">
                  <c:v>81.599999999999994</c:v>
                </c:pt>
                <c:pt idx="315">
                  <c:v>96.1</c:v>
                </c:pt>
                <c:pt idx="316">
                  <c:v>107.8</c:v>
                </c:pt>
                <c:pt idx="317">
                  <c:v>50.9</c:v>
                </c:pt>
                <c:pt idx="318">
                  <c:v>102.2</c:v>
                </c:pt>
                <c:pt idx="319">
                  <c:v>54.1</c:v>
                </c:pt>
                <c:pt idx="320">
                  <c:v>40.299999999999997</c:v>
                </c:pt>
                <c:pt idx="321">
                  <c:v>55.1</c:v>
                </c:pt>
                <c:pt idx="322">
                  <c:v>95.6</c:v>
                </c:pt>
                <c:pt idx="323">
                  <c:v>93.7</c:v>
                </c:pt>
                <c:pt idx="324">
                  <c:v>111.9</c:v>
                </c:pt>
                <c:pt idx="325">
                  <c:v>112</c:v>
                </c:pt>
                <c:pt idx="326">
                  <c:v>89.5</c:v>
                </c:pt>
                <c:pt idx="327">
                  <c:v>58.9</c:v>
                </c:pt>
                <c:pt idx="328">
                  <c:v>67.599999999999994</c:v>
                </c:pt>
                <c:pt idx="329">
                  <c:v>43.7</c:v>
                </c:pt>
                <c:pt idx="330">
                  <c:v>18.3</c:v>
                </c:pt>
                <c:pt idx="331">
                  <c:v>24.2</c:v>
                </c:pt>
                <c:pt idx="332">
                  <c:v>70.599999999999994</c:v>
                </c:pt>
                <c:pt idx="333">
                  <c:v>89.8</c:v>
                </c:pt>
                <c:pt idx="334">
                  <c:v>87.6</c:v>
                </c:pt>
                <c:pt idx="335">
                  <c:v>63.6</c:v>
                </c:pt>
                <c:pt idx="336">
                  <c:v>119</c:v>
                </c:pt>
                <c:pt idx="337">
                  <c:v>75.099999999999994</c:v>
                </c:pt>
                <c:pt idx="338">
                  <c:v>41.2</c:v>
                </c:pt>
                <c:pt idx="339">
                  <c:v>124</c:v>
                </c:pt>
                <c:pt idx="340">
                  <c:v>94.9</c:v>
                </c:pt>
                <c:pt idx="341">
                  <c:v>40.9</c:v>
                </c:pt>
                <c:pt idx="342">
                  <c:v>66.5</c:v>
                </c:pt>
                <c:pt idx="343">
                  <c:v>16.5</c:v>
                </c:pt>
                <c:pt idx="344">
                  <c:v>53.5</c:v>
                </c:pt>
                <c:pt idx="345">
                  <c:v>49.6</c:v>
                </c:pt>
                <c:pt idx="346">
                  <c:v>95.6</c:v>
                </c:pt>
                <c:pt idx="347">
                  <c:v>62.4</c:v>
                </c:pt>
                <c:pt idx="348">
                  <c:v>16.399999999999999</c:v>
                </c:pt>
                <c:pt idx="349">
                  <c:v>44.4</c:v>
                </c:pt>
                <c:pt idx="350">
                  <c:v>108.4</c:v>
                </c:pt>
                <c:pt idx="351">
                  <c:v>160.19999999999999</c:v>
                </c:pt>
                <c:pt idx="352">
                  <c:v>126.1</c:v>
                </c:pt>
                <c:pt idx="353">
                  <c:v>117.5</c:v>
                </c:pt>
                <c:pt idx="354">
                  <c:v>115</c:v>
                </c:pt>
                <c:pt idx="355">
                  <c:v>43.6</c:v>
                </c:pt>
                <c:pt idx="356">
                  <c:v>32.200000000000003</c:v>
                </c:pt>
                <c:pt idx="357">
                  <c:v>15.8</c:v>
                </c:pt>
                <c:pt idx="358">
                  <c:v>12.3</c:v>
                </c:pt>
                <c:pt idx="359">
                  <c:v>13.9</c:v>
                </c:pt>
                <c:pt idx="360">
                  <c:v>56.2</c:v>
                </c:pt>
                <c:pt idx="361">
                  <c:v>59.1</c:v>
                </c:pt>
                <c:pt idx="362">
                  <c:v>20.9</c:v>
                </c:pt>
                <c:pt idx="363">
                  <c:v>27.4</c:v>
                </c:pt>
                <c:pt idx="364">
                  <c:v>7.3</c:v>
                </c:pt>
              </c:numCache>
            </c:numRef>
          </c:val>
          <c:smooth val="0"/>
          <c:extLst>
            <c:ext xmlns:c16="http://schemas.microsoft.com/office/drawing/2014/chart" uri="{C3380CC4-5D6E-409C-BE32-E72D297353CC}">
              <c16:uniqueId val="{00000004-45F3-46BF-BD60-FF320CD4C9F4}"/>
            </c:ext>
          </c:extLst>
        </c:ser>
        <c:ser>
          <c:idx val="5"/>
          <c:order val="5"/>
          <c:tx>
            <c:strRef>
              <c:f>'Várpalotai mérőállomás'!$G$4</c:f>
              <c:strCache>
                <c:ptCount val="1"/>
                <c:pt idx="0">
                  <c:v>NO (ug/m3)</c:v>
                </c:pt>
              </c:strCache>
            </c:strRef>
          </c:tx>
          <c:spPr>
            <a:ln w="28575" cap="rnd">
              <a:solidFill>
                <a:schemeClr val="accent6"/>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mérőállomás'!$G$5:$G$369</c:f>
              <c:numCache>
                <c:formatCode>General</c:formatCode>
                <c:ptCount val="365"/>
                <c:pt idx="0">
                  <c:v>10.4</c:v>
                </c:pt>
                <c:pt idx="1">
                  <c:v>10.8</c:v>
                </c:pt>
                <c:pt idx="2">
                  <c:v>11.5</c:v>
                </c:pt>
                <c:pt idx="3">
                  <c:v>35.700000000000003</c:v>
                </c:pt>
                <c:pt idx="4">
                  <c:v>34.4</c:v>
                </c:pt>
                <c:pt idx="5">
                  <c:v>29.3</c:v>
                </c:pt>
                <c:pt idx="6">
                  <c:v>19.399999999999999</c:v>
                </c:pt>
                <c:pt idx="7">
                  <c:v>42.1</c:v>
                </c:pt>
                <c:pt idx="8">
                  <c:v>42.8</c:v>
                </c:pt>
                <c:pt idx="9">
                  <c:v>43.9</c:v>
                </c:pt>
                <c:pt idx="10">
                  <c:v>13.6</c:v>
                </c:pt>
                <c:pt idx="11">
                  <c:v>13.7</c:v>
                </c:pt>
                <c:pt idx="12">
                  <c:v>23.8</c:v>
                </c:pt>
                <c:pt idx="13">
                  <c:v>13.6</c:v>
                </c:pt>
                <c:pt idx="14">
                  <c:v>22.2</c:v>
                </c:pt>
                <c:pt idx="15">
                  <c:v>32.200000000000003</c:v>
                </c:pt>
                <c:pt idx="16">
                  <c:v>22.4</c:v>
                </c:pt>
                <c:pt idx="17">
                  <c:v>2.7</c:v>
                </c:pt>
                <c:pt idx="18">
                  <c:v>20.3</c:v>
                </c:pt>
                <c:pt idx="19">
                  <c:v>7.8</c:v>
                </c:pt>
                <c:pt idx="20">
                  <c:v>8.4</c:v>
                </c:pt>
                <c:pt idx="21">
                  <c:v>15.4</c:v>
                </c:pt>
                <c:pt idx="22">
                  <c:v>40.200000000000003</c:v>
                </c:pt>
                <c:pt idx="23">
                  <c:v>41.8</c:v>
                </c:pt>
                <c:pt idx="24">
                  <c:v>33.1</c:v>
                </c:pt>
                <c:pt idx="25">
                  <c:v>34.6</c:v>
                </c:pt>
                <c:pt idx="26">
                  <c:v>10.199999999999999</c:v>
                </c:pt>
                <c:pt idx="27">
                  <c:v>7.4</c:v>
                </c:pt>
                <c:pt idx="28">
                  <c:v>45.7</c:v>
                </c:pt>
                <c:pt idx="29">
                  <c:v>4.7</c:v>
                </c:pt>
                <c:pt idx="30">
                  <c:v>45.1</c:v>
                </c:pt>
                <c:pt idx="31">
                  <c:v>6.3</c:v>
                </c:pt>
                <c:pt idx="32">
                  <c:v>1.1000000000000001</c:v>
                </c:pt>
                <c:pt idx="33">
                  <c:v>2.6</c:v>
                </c:pt>
                <c:pt idx="34">
                  <c:v>1.8</c:v>
                </c:pt>
                <c:pt idx="35">
                  <c:v>9.1</c:v>
                </c:pt>
                <c:pt idx="36">
                  <c:v>32.5</c:v>
                </c:pt>
                <c:pt idx="37">
                  <c:v>25.4</c:v>
                </c:pt>
                <c:pt idx="38">
                  <c:v>2</c:v>
                </c:pt>
                <c:pt idx="39">
                  <c:v>0</c:v>
                </c:pt>
                <c:pt idx="40">
                  <c:v>5.3</c:v>
                </c:pt>
                <c:pt idx="41">
                  <c:v>6.9</c:v>
                </c:pt>
                <c:pt idx="42">
                  <c:v>52.5</c:v>
                </c:pt>
                <c:pt idx="43">
                  <c:v>3.3</c:v>
                </c:pt>
                <c:pt idx="44">
                  <c:v>1.8</c:v>
                </c:pt>
                <c:pt idx="45">
                  <c:v>9.8000000000000007</c:v>
                </c:pt>
                <c:pt idx="46">
                  <c:v>22.4</c:v>
                </c:pt>
                <c:pt idx="47">
                  <c:v>15.2</c:v>
                </c:pt>
                <c:pt idx="48">
                  <c:v>2.2000000000000002</c:v>
                </c:pt>
                <c:pt idx="49">
                  <c:v>19.7</c:v>
                </c:pt>
                <c:pt idx="50">
                  <c:v>17.5</c:v>
                </c:pt>
                <c:pt idx="51">
                  <c:v>2</c:v>
                </c:pt>
                <c:pt idx="52">
                  <c:v>6.3</c:v>
                </c:pt>
                <c:pt idx="53">
                  <c:v>11.6</c:v>
                </c:pt>
                <c:pt idx="54">
                  <c:v>1.8</c:v>
                </c:pt>
                <c:pt idx="55">
                  <c:v>1.5</c:v>
                </c:pt>
                <c:pt idx="56">
                  <c:v>2.4</c:v>
                </c:pt>
                <c:pt idx="57">
                  <c:v>2</c:v>
                </c:pt>
                <c:pt idx="58">
                  <c:v>3.2</c:v>
                </c:pt>
                <c:pt idx="59">
                  <c:v>24.5</c:v>
                </c:pt>
                <c:pt idx="60">
                  <c:v>23.8</c:v>
                </c:pt>
                <c:pt idx="61">
                  <c:v>6.9</c:v>
                </c:pt>
                <c:pt idx="62">
                  <c:v>6.5</c:v>
                </c:pt>
                <c:pt idx="63">
                  <c:v>20</c:v>
                </c:pt>
                <c:pt idx="64">
                  <c:v>22.8</c:v>
                </c:pt>
                <c:pt idx="65">
                  <c:v>19.3</c:v>
                </c:pt>
                <c:pt idx="66">
                  <c:v>9.1</c:v>
                </c:pt>
                <c:pt idx="67">
                  <c:v>22.6</c:v>
                </c:pt>
                <c:pt idx="68">
                  <c:v>22.5</c:v>
                </c:pt>
                <c:pt idx="69">
                  <c:v>13</c:v>
                </c:pt>
                <c:pt idx="70">
                  <c:v>8.9</c:v>
                </c:pt>
                <c:pt idx="71">
                  <c:v>10.3</c:v>
                </c:pt>
                <c:pt idx="72">
                  <c:v>6.9</c:v>
                </c:pt>
                <c:pt idx="73">
                  <c:v>12.8</c:v>
                </c:pt>
                <c:pt idx="74">
                  <c:v>24.8</c:v>
                </c:pt>
                <c:pt idx="75">
                  <c:v>18</c:v>
                </c:pt>
                <c:pt idx="76">
                  <c:v>2.5</c:v>
                </c:pt>
                <c:pt idx="77">
                  <c:v>10.1</c:v>
                </c:pt>
                <c:pt idx="78">
                  <c:v>1.8</c:v>
                </c:pt>
                <c:pt idx="79">
                  <c:v>2</c:v>
                </c:pt>
                <c:pt idx="80">
                  <c:v>9.9</c:v>
                </c:pt>
                <c:pt idx="81">
                  <c:v>3.4</c:v>
                </c:pt>
                <c:pt idx="82">
                  <c:v>12.3</c:v>
                </c:pt>
                <c:pt idx="83">
                  <c:v>8.1</c:v>
                </c:pt>
                <c:pt idx="84">
                  <c:v>11.6</c:v>
                </c:pt>
                <c:pt idx="85">
                  <c:v>4.7</c:v>
                </c:pt>
                <c:pt idx="86">
                  <c:v>20.399999999999999</c:v>
                </c:pt>
                <c:pt idx="87">
                  <c:v>40.299999999999997</c:v>
                </c:pt>
                <c:pt idx="88">
                  <c:v>11.8</c:v>
                </c:pt>
                <c:pt idx="89">
                  <c:v>11.3</c:v>
                </c:pt>
                <c:pt idx="90">
                  <c:v>1.9</c:v>
                </c:pt>
                <c:pt idx="91">
                  <c:v>2.2000000000000002</c:v>
                </c:pt>
                <c:pt idx="92">
                  <c:v>5.2</c:v>
                </c:pt>
                <c:pt idx="93">
                  <c:v>0</c:v>
                </c:pt>
                <c:pt idx="94">
                  <c:v>0</c:v>
                </c:pt>
                <c:pt idx="95">
                  <c:v>0</c:v>
                </c:pt>
                <c:pt idx="96">
                  <c:v>14.9</c:v>
                </c:pt>
                <c:pt idx="97">
                  <c:v>7.2</c:v>
                </c:pt>
                <c:pt idx="98">
                  <c:v>10.199999999999999</c:v>
                </c:pt>
                <c:pt idx="99">
                  <c:v>8.6</c:v>
                </c:pt>
                <c:pt idx="100">
                  <c:v>8.4</c:v>
                </c:pt>
                <c:pt idx="101">
                  <c:v>10</c:v>
                </c:pt>
                <c:pt idx="102">
                  <c:v>6.5</c:v>
                </c:pt>
                <c:pt idx="103">
                  <c:v>6.6</c:v>
                </c:pt>
                <c:pt idx="104">
                  <c:v>5</c:v>
                </c:pt>
                <c:pt idx="105">
                  <c:v>28</c:v>
                </c:pt>
                <c:pt idx="106">
                  <c:v>0.4</c:v>
                </c:pt>
                <c:pt idx="107">
                  <c:v>0.3</c:v>
                </c:pt>
                <c:pt idx="108">
                  <c:v>11.1</c:v>
                </c:pt>
                <c:pt idx="109">
                  <c:v>2.2999999999999998</c:v>
                </c:pt>
                <c:pt idx="110">
                  <c:v>5.9</c:v>
                </c:pt>
                <c:pt idx="111">
                  <c:v>4.8</c:v>
                </c:pt>
                <c:pt idx="112">
                  <c:v>9.3000000000000007</c:v>
                </c:pt>
                <c:pt idx="113">
                  <c:v>0</c:v>
                </c:pt>
                <c:pt idx="114">
                  <c:v>12.5</c:v>
                </c:pt>
                <c:pt idx="115">
                  <c:v>4.7</c:v>
                </c:pt>
                <c:pt idx="116">
                  <c:v>10.6</c:v>
                </c:pt>
                <c:pt idx="117">
                  <c:v>5.9</c:v>
                </c:pt>
                <c:pt idx="118">
                  <c:v>4.2</c:v>
                </c:pt>
                <c:pt idx="119">
                  <c:v>4.7</c:v>
                </c:pt>
                <c:pt idx="120">
                  <c:v>1.6</c:v>
                </c:pt>
                <c:pt idx="121">
                  <c:v>16.399999999999999</c:v>
                </c:pt>
                <c:pt idx="122">
                  <c:v>12.6</c:v>
                </c:pt>
                <c:pt idx="123">
                  <c:v>10.1</c:v>
                </c:pt>
                <c:pt idx="124">
                  <c:v>0.7</c:v>
                </c:pt>
                <c:pt idx="125">
                  <c:v>0.7</c:v>
                </c:pt>
                <c:pt idx="126">
                  <c:v>2.9</c:v>
                </c:pt>
                <c:pt idx="127">
                  <c:v>3.8</c:v>
                </c:pt>
                <c:pt idx="128">
                  <c:v>13.4</c:v>
                </c:pt>
                <c:pt idx="129">
                  <c:v>16</c:v>
                </c:pt>
                <c:pt idx="130">
                  <c:v>4</c:v>
                </c:pt>
                <c:pt idx="131">
                  <c:v>6</c:v>
                </c:pt>
                <c:pt idx="132">
                  <c:v>3.5</c:v>
                </c:pt>
                <c:pt idx="133">
                  <c:v>11.2</c:v>
                </c:pt>
                <c:pt idx="134">
                  <c:v>8.8000000000000007</c:v>
                </c:pt>
                <c:pt idx="135">
                  <c:v>4.0999999999999996</c:v>
                </c:pt>
                <c:pt idx="136">
                  <c:v>7.9</c:v>
                </c:pt>
                <c:pt idx="137">
                  <c:v>1.3</c:v>
                </c:pt>
                <c:pt idx="138">
                  <c:v>1.5</c:v>
                </c:pt>
                <c:pt idx="139">
                  <c:v>2.5</c:v>
                </c:pt>
                <c:pt idx="140">
                  <c:v>2.4</c:v>
                </c:pt>
                <c:pt idx="141">
                  <c:v>11.3</c:v>
                </c:pt>
                <c:pt idx="142">
                  <c:v>21.3</c:v>
                </c:pt>
                <c:pt idx="143">
                  <c:v>13.8</c:v>
                </c:pt>
                <c:pt idx="144">
                  <c:v>10.199999999999999</c:v>
                </c:pt>
                <c:pt idx="145">
                  <c:v>11.3</c:v>
                </c:pt>
                <c:pt idx="146">
                  <c:v>7.1</c:v>
                </c:pt>
                <c:pt idx="147">
                  <c:v>13</c:v>
                </c:pt>
                <c:pt idx="148">
                  <c:v>12.9</c:v>
                </c:pt>
                <c:pt idx="149">
                  <c:v>11.9</c:v>
                </c:pt>
                <c:pt idx="150">
                  <c:v>13.3</c:v>
                </c:pt>
                <c:pt idx="151">
                  <c:v>10.9</c:v>
                </c:pt>
                <c:pt idx="152">
                  <c:v>2.4</c:v>
                </c:pt>
                <c:pt idx="153">
                  <c:v>2</c:v>
                </c:pt>
                <c:pt idx="154">
                  <c:v>5.4</c:v>
                </c:pt>
                <c:pt idx="155">
                  <c:v>7.5</c:v>
                </c:pt>
                <c:pt idx="156">
                  <c:v>15.4</c:v>
                </c:pt>
                <c:pt idx="157">
                  <c:v>18</c:v>
                </c:pt>
                <c:pt idx="158">
                  <c:v>20.9</c:v>
                </c:pt>
                <c:pt idx="159">
                  <c:v>12.8</c:v>
                </c:pt>
                <c:pt idx="160">
                  <c:v>8.1</c:v>
                </c:pt>
                <c:pt idx="161">
                  <c:v>18.100000000000001</c:v>
                </c:pt>
                <c:pt idx="162">
                  <c:v>8.6999999999999993</c:v>
                </c:pt>
                <c:pt idx="163">
                  <c:v>15.7</c:v>
                </c:pt>
                <c:pt idx="164">
                  <c:v>2.5</c:v>
                </c:pt>
                <c:pt idx="165">
                  <c:v>1.8</c:v>
                </c:pt>
                <c:pt idx="166">
                  <c:v>6.2</c:v>
                </c:pt>
                <c:pt idx="167">
                  <c:v>4.0999999999999996</c:v>
                </c:pt>
                <c:pt idx="168">
                  <c:v>2.2999999999999998</c:v>
                </c:pt>
                <c:pt idx="169">
                  <c:v>1.3</c:v>
                </c:pt>
                <c:pt idx="170">
                  <c:v>6.7</c:v>
                </c:pt>
                <c:pt idx="171">
                  <c:v>11</c:v>
                </c:pt>
                <c:pt idx="172">
                  <c:v>4.0999999999999996</c:v>
                </c:pt>
                <c:pt idx="173">
                  <c:v>2.1</c:v>
                </c:pt>
                <c:pt idx="174">
                  <c:v>0</c:v>
                </c:pt>
                <c:pt idx="175">
                  <c:v>0</c:v>
                </c:pt>
                <c:pt idx="176">
                  <c:v>9.1999999999999993</c:v>
                </c:pt>
                <c:pt idx="177">
                  <c:v>2.6</c:v>
                </c:pt>
                <c:pt idx="178">
                  <c:v>2.9</c:v>
                </c:pt>
                <c:pt idx="179">
                  <c:v>6.6</c:v>
                </c:pt>
                <c:pt idx="180">
                  <c:v>1.2</c:v>
                </c:pt>
                <c:pt idx="181">
                  <c:v>0.8</c:v>
                </c:pt>
                <c:pt idx="182">
                  <c:v>5.4</c:v>
                </c:pt>
                <c:pt idx="183">
                  <c:v>9.4</c:v>
                </c:pt>
                <c:pt idx="184">
                  <c:v>7.4</c:v>
                </c:pt>
                <c:pt idx="185">
                  <c:v>5.3</c:v>
                </c:pt>
                <c:pt idx="186">
                  <c:v>4.9000000000000004</c:v>
                </c:pt>
                <c:pt idx="187">
                  <c:v>1.4</c:v>
                </c:pt>
                <c:pt idx="188">
                  <c:v>0.9</c:v>
                </c:pt>
                <c:pt idx="189">
                  <c:v>1.7</c:v>
                </c:pt>
                <c:pt idx="190">
                  <c:v>5.9</c:v>
                </c:pt>
                <c:pt idx="191">
                  <c:v>6.7</c:v>
                </c:pt>
                <c:pt idx="192">
                  <c:v>4.0999999999999996</c:v>
                </c:pt>
                <c:pt idx="193">
                  <c:v>2.8</c:v>
                </c:pt>
                <c:pt idx="194">
                  <c:v>1</c:v>
                </c:pt>
                <c:pt idx="195">
                  <c:v>1</c:v>
                </c:pt>
                <c:pt idx="196">
                  <c:v>5.3</c:v>
                </c:pt>
                <c:pt idx="197">
                  <c:v>1.7</c:v>
                </c:pt>
                <c:pt idx="198">
                  <c:v>1.2</c:v>
                </c:pt>
                <c:pt idx="199">
                  <c:v>1.2</c:v>
                </c:pt>
                <c:pt idx="200">
                  <c:v>2</c:v>
                </c:pt>
                <c:pt idx="201">
                  <c:v>6.7</c:v>
                </c:pt>
                <c:pt idx="202">
                  <c:v>4.7</c:v>
                </c:pt>
                <c:pt idx="203">
                  <c:v>1.7</c:v>
                </c:pt>
                <c:pt idx="204">
                  <c:v>1</c:v>
                </c:pt>
                <c:pt idx="205">
                  <c:v>1.3</c:v>
                </c:pt>
                <c:pt idx="206">
                  <c:v>2.2999999999999998</c:v>
                </c:pt>
                <c:pt idx="207">
                  <c:v>14</c:v>
                </c:pt>
                <c:pt idx="208">
                  <c:v>13</c:v>
                </c:pt>
                <c:pt idx="209">
                  <c:v>6.8</c:v>
                </c:pt>
                <c:pt idx="210">
                  <c:v>7.5</c:v>
                </c:pt>
                <c:pt idx="211">
                  <c:v>8.3000000000000007</c:v>
                </c:pt>
                <c:pt idx="212">
                  <c:v>10.4</c:v>
                </c:pt>
                <c:pt idx="213">
                  <c:v>20.399999999999999</c:v>
                </c:pt>
                <c:pt idx="214">
                  <c:v>15.8</c:v>
                </c:pt>
                <c:pt idx="215">
                  <c:v>8.1</c:v>
                </c:pt>
                <c:pt idx="216">
                  <c:v>7.3</c:v>
                </c:pt>
                <c:pt idx="217">
                  <c:v>6</c:v>
                </c:pt>
                <c:pt idx="218">
                  <c:v>0</c:v>
                </c:pt>
                <c:pt idx="219">
                  <c:v>8.1999999999999993</c:v>
                </c:pt>
                <c:pt idx="220">
                  <c:v>14.2</c:v>
                </c:pt>
                <c:pt idx="221">
                  <c:v>11.8</c:v>
                </c:pt>
                <c:pt idx="222">
                  <c:v>2.9</c:v>
                </c:pt>
                <c:pt idx="223">
                  <c:v>3.1</c:v>
                </c:pt>
                <c:pt idx="224">
                  <c:v>10.199999999999999</c:v>
                </c:pt>
                <c:pt idx="225">
                  <c:v>2.8</c:v>
                </c:pt>
                <c:pt idx="226">
                  <c:v>2.5</c:v>
                </c:pt>
                <c:pt idx="227">
                  <c:v>14.3</c:v>
                </c:pt>
                <c:pt idx="228">
                  <c:v>10.4</c:v>
                </c:pt>
                <c:pt idx="229">
                  <c:v>9.1</c:v>
                </c:pt>
                <c:pt idx="230">
                  <c:v>6</c:v>
                </c:pt>
                <c:pt idx="231">
                  <c:v>3.9</c:v>
                </c:pt>
                <c:pt idx="232">
                  <c:v>11.5</c:v>
                </c:pt>
                <c:pt idx="233">
                  <c:v>11.1</c:v>
                </c:pt>
                <c:pt idx="234">
                  <c:v>13.7</c:v>
                </c:pt>
                <c:pt idx="235">
                  <c:v>13.3</c:v>
                </c:pt>
                <c:pt idx="236">
                  <c:v>1.2</c:v>
                </c:pt>
                <c:pt idx="237">
                  <c:v>0.8</c:v>
                </c:pt>
                <c:pt idx="238">
                  <c:v>3.9</c:v>
                </c:pt>
                <c:pt idx="239">
                  <c:v>17.399999999999999</c:v>
                </c:pt>
                <c:pt idx="240">
                  <c:v>15.8</c:v>
                </c:pt>
                <c:pt idx="241">
                  <c:v>14.7</c:v>
                </c:pt>
                <c:pt idx="242">
                  <c:v>5.9</c:v>
                </c:pt>
                <c:pt idx="243">
                  <c:v>7.1</c:v>
                </c:pt>
                <c:pt idx="244">
                  <c:v>3.9</c:v>
                </c:pt>
                <c:pt idx="245">
                  <c:v>12.4</c:v>
                </c:pt>
                <c:pt idx="246">
                  <c:v>21.3</c:v>
                </c:pt>
                <c:pt idx="247">
                  <c:v>8.6999999999999993</c:v>
                </c:pt>
                <c:pt idx="248">
                  <c:v>10.1</c:v>
                </c:pt>
                <c:pt idx="249">
                  <c:v>16.7</c:v>
                </c:pt>
                <c:pt idx="250">
                  <c:v>1</c:v>
                </c:pt>
                <c:pt idx="251">
                  <c:v>2</c:v>
                </c:pt>
                <c:pt idx="252">
                  <c:v>8</c:v>
                </c:pt>
                <c:pt idx="253">
                  <c:v>16.100000000000001</c:v>
                </c:pt>
                <c:pt idx="254">
                  <c:v>23</c:v>
                </c:pt>
                <c:pt idx="255">
                  <c:v>18.899999999999999</c:v>
                </c:pt>
                <c:pt idx="256">
                  <c:v>9.1999999999999993</c:v>
                </c:pt>
                <c:pt idx="257">
                  <c:v>2.2999999999999998</c:v>
                </c:pt>
                <c:pt idx="258">
                  <c:v>9</c:v>
                </c:pt>
                <c:pt idx="259">
                  <c:v>14.8</c:v>
                </c:pt>
                <c:pt idx="260">
                  <c:v>15.1</c:v>
                </c:pt>
                <c:pt idx="261">
                  <c:v>21.3</c:v>
                </c:pt>
                <c:pt idx="262">
                  <c:v>26</c:v>
                </c:pt>
                <c:pt idx="263">
                  <c:v>11.8</c:v>
                </c:pt>
                <c:pt idx="264">
                  <c:v>5.7</c:v>
                </c:pt>
                <c:pt idx="265">
                  <c:v>11</c:v>
                </c:pt>
                <c:pt idx="266">
                  <c:v>2.2999999999999998</c:v>
                </c:pt>
                <c:pt idx="267">
                  <c:v>1.9</c:v>
                </c:pt>
                <c:pt idx="268">
                  <c:v>20</c:v>
                </c:pt>
                <c:pt idx="269">
                  <c:v>23.6</c:v>
                </c:pt>
                <c:pt idx="270">
                  <c:v>23.8</c:v>
                </c:pt>
                <c:pt idx="271">
                  <c:v>1.6</c:v>
                </c:pt>
                <c:pt idx="272">
                  <c:v>10.4</c:v>
                </c:pt>
                <c:pt idx="273">
                  <c:v>27.2</c:v>
                </c:pt>
                <c:pt idx="274">
                  <c:v>5.2</c:v>
                </c:pt>
                <c:pt idx="275">
                  <c:v>10.1</c:v>
                </c:pt>
                <c:pt idx="276">
                  <c:v>15.1</c:v>
                </c:pt>
                <c:pt idx="277">
                  <c:v>22.7</c:v>
                </c:pt>
                <c:pt idx="278">
                  <c:v>15.1</c:v>
                </c:pt>
                <c:pt idx="279">
                  <c:v>8.4</c:v>
                </c:pt>
                <c:pt idx="280">
                  <c:v>24.8</c:v>
                </c:pt>
                <c:pt idx="281">
                  <c:v>42.4</c:v>
                </c:pt>
                <c:pt idx="282">
                  <c:v>26.7</c:v>
                </c:pt>
                <c:pt idx="283">
                  <c:v>23.5</c:v>
                </c:pt>
                <c:pt idx="284">
                  <c:v>22</c:v>
                </c:pt>
                <c:pt idx="285">
                  <c:v>23.1</c:v>
                </c:pt>
                <c:pt idx="286">
                  <c:v>10.7</c:v>
                </c:pt>
                <c:pt idx="287">
                  <c:v>30.8</c:v>
                </c:pt>
                <c:pt idx="288">
                  <c:v>18.899999999999999</c:v>
                </c:pt>
                <c:pt idx="289">
                  <c:v>24.1</c:v>
                </c:pt>
                <c:pt idx="290">
                  <c:v>19.7</c:v>
                </c:pt>
                <c:pt idx="291">
                  <c:v>27.7</c:v>
                </c:pt>
                <c:pt idx="292">
                  <c:v>10.9</c:v>
                </c:pt>
                <c:pt idx="293">
                  <c:v>1.9</c:v>
                </c:pt>
                <c:pt idx="294">
                  <c:v>6.8</c:v>
                </c:pt>
                <c:pt idx="295">
                  <c:v>3.7</c:v>
                </c:pt>
                <c:pt idx="296">
                  <c:v>2.4</c:v>
                </c:pt>
                <c:pt idx="297">
                  <c:v>16.899999999999999</c:v>
                </c:pt>
                <c:pt idx="298">
                  <c:v>31.7</c:v>
                </c:pt>
                <c:pt idx="299">
                  <c:v>20.8</c:v>
                </c:pt>
                <c:pt idx="300">
                  <c:v>20.9</c:v>
                </c:pt>
                <c:pt idx="301">
                  <c:v>29.9</c:v>
                </c:pt>
                <c:pt idx="302">
                  <c:v>15</c:v>
                </c:pt>
                <c:pt idx="303">
                  <c:v>24.7</c:v>
                </c:pt>
                <c:pt idx="304">
                  <c:v>15.6</c:v>
                </c:pt>
                <c:pt idx="305">
                  <c:v>33.299999999999997</c:v>
                </c:pt>
                <c:pt idx="306">
                  <c:v>15.8</c:v>
                </c:pt>
                <c:pt idx="307">
                  <c:v>16.5</c:v>
                </c:pt>
                <c:pt idx="308">
                  <c:v>22.3</c:v>
                </c:pt>
                <c:pt idx="309">
                  <c:v>25.9</c:v>
                </c:pt>
                <c:pt idx="310">
                  <c:v>27.5</c:v>
                </c:pt>
                <c:pt idx="311">
                  <c:v>44.9</c:v>
                </c:pt>
                <c:pt idx="312">
                  <c:v>58.6</c:v>
                </c:pt>
                <c:pt idx="313">
                  <c:v>31.4</c:v>
                </c:pt>
                <c:pt idx="314">
                  <c:v>31.5</c:v>
                </c:pt>
                <c:pt idx="315">
                  <c:v>38.1</c:v>
                </c:pt>
                <c:pt idx="316">
                  <c:v>46.1</c:v>
                </c:pt>
                <c:pt idx="317">
                  <c:v>18.7</c:v>
                </c:pt>
                <c:pt idx="318">
                  <c:v>42.3</c:v>
                </c:pt>
                <c:pt idx="319">
                  <c:v>18.899999999999999</c:v>
                </c:pt>
                <c:pt idx="320">
                  <c:v>12.1</c:v>
                </c:pt>
                <c:pt idx="321">
                  <c:v>18</c:v>
                </c:pt>
                <c:pt idx="322">
                  <c:v>40.700000000000003</c:v>
                </c:pt>
                <c:pt idx="323">
                  <c:v>41.6</c:v>
                </c:pt>
                <c:pt idx="324">
                  <c:v>52.3</c:v>
                </c:pt>
                <c:pt idx="325">
                  <c:v>55.2</c:v>
                </c:pt>
                <c:pt idx="326">
                  <c:v>42.3</c:v>
                </c:pt>
                <c:pt idx="327">
                  <c:v>25.8</c:v>
                </c:pt>
                <c:pt idx="328">
                  <c:v>29.4</c:v>
                </c:pt>
                <c:pt idx="329">
                  <c:v>15.9</c:v>
                </c:pt>
                <c:pt idx="330">
                  <c:v>2.9</c:v>
                </c:pt>
                <c:pt idx="331">
                  <c:v>5</c:v>
                </c:pt>
                <c:pt idx="332">
                  <c:v>25.5</c:v>
                </c:pt>
                <c:pt idx="333">
                  <c:v>35.200000000000003</c:v>
                </c:pt>
                <c:pt idx="334">
                  <c:v>37</c:v>
                </c:pt>
                <c:pt idx="335">
                  <c:v>23.1</c:v>
                </c:pt>
                <c:pt idx="336">
                  <c:v>55.5</c:v>
                </c:pt>
                <c:pt idx="337">
                  <c:v>34.299999999999997</c:v>
                </c:pt>
                <c:pt idx="338">
                  <c:v>13</c:v>
                </c:pt>
                <c:pt idx="339">
                  <c:v>55.2</c:v>
                </c:pt>
                <c:pt idx="340">
                  <c:v>37.799999999999997</c:v>
                </c:pt>
                <c:pt idx="341">
                  <c:v>13.8</c:v>
                </c:pt>
                <c:pt idx="342">
                  <c:v>23.7</c:v>
                </c:pt>
                <c:pt idx="343">
                  <c:v>3.6</c:v>
                </c:pt>
                <c:pt idx="344">
                  <c:v>18.5</c:v>
                </c:pt>
                <c:pt idx="345">
                  <c:v>20.6</c:v>
                </c:pt>
                <c:pt idx="346">
                  <c:v>46</c:v>
                </c:pt>
                <c:pt idx="347">
                  <c:v>25.6</c:v>
                </c:pt>
                <c:pt idx="348">
                  <c:v>2.9</c:v>
                </c:pt>
                <c:pt idx="349">
                  <c:v>14.2</c:v>
                </c:pt>
                <c:pt idx="350">
                  <c:v>46.9</c:v>
                </c:pt>
                <c:pt idx="351">
                  <c:v>76.7</c:v>
                </c:pt>
                <c:pt idx="352">
                  <c:v>53.8</c:v>
                </c:pt>
                <c:pt idx="353">
                  <c:v>47.5</c:v>
                </c:pt>
                <c:pt idx="354">
                  <c:v>47.7</c:v>
                </c:pt>
                <c:pt idx="355">
                  <c:v>12.3</c:v>
                </c:pt>
                <c:pt idx="356">
                  <c:v>8.6</c:v>
                </c:pt>
                <c:pt idx="357">
                  <c:v>3.1</c:v>
                </c:pt>
                <c:pt idx="358">
                  <c:v>2.6</c:v>
                </c:pt>
                <c:pt idx="359">
                  <c:v>2.9</c:v>
                </c:pt>
                <c:pt idx="360">
                  <c:v>22</c:v>
                </c:pt>
                <c:pt idx="361">
                  <c:v>21.5</c:v>
                </c:pt>
                <c:pt idx="362">
                  <c:v>2.9</c:v>
                </c:pt>
                <c:pt idx="363">
                  <c:v>7.6</c:v>
                </c:pt>
                <c:pt idx="364">
                  <c:v>1.4</c:v>
                </c:pt>
              </c:numCache>
            </c:numRef>
          </c:val>
          <c:smooth val="0"/>
          <c:extLst>
            <c:ext xmlns:c16="http://schemas.microsoft.com/office/drawing/2014/chart" uri="{C3380CC4-5D6E-409C-BE32-E72D297353CC}">
              <c16:uniqueId val="{00000005-45F3-46BF-BD60-FF320CD4C9F4}"/>
            </c:ext>
          </c:extLst>
        </c:ser>
        <c:ser>
          <c:idx val="6"/>
          <c:order val="6"/>
          <c:tx>
            <c:strRef>
              <c:f>'Várpalotai mérőállomás'!$H$4</c:f>
              <c:strCache>
                <c:ptCount val="1"/>
                <c:pt idx="0">
                  <c:v>PM10 (ug/m3)</c:v>
                </c:pt>
              </c:strCache>
            </c:strRef>
          </c:tx>
          <c:spPr>
            <a:ln w="28575" cap="rnd">
              <a:solidFill>
                <a:schemeClr val="accent1">
                  <a:lumMod val="60000"/>
                </a:schemeClr>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mérőállomás'!$H$5:$H$369</c:f>
              <c:numCache>
                <c:formatCode>General</c:formatCode>
                <c:ptCount val="365"/>
                <c:pt idx="0">
                  <c:v>62</c:v>
                </c:pt>
                <c:pt idx="1">
                  <c:v>15</c:v>
                </c:pt>
                <c:pt idx="2">
                  <c:v>18</c:v>
                </c:pt>
                <c:pt idx="3">
                  <c:v>38</c:v>
                </c:pt>
                <c:pt idx="4">
                  <c:v>66</c:v>
                </c:pt>
                <c:pt idx="5">
                  <c:v>46</c:v>
                </c:pt>
                <c:pt idx="6">
                  <c:v>41</c:v>
                </c:pt>
                <c:pt idx="7">
                  <c:v>64</c:v>
                </c:pt>
                <c:pt idx="8">
                  <c:v>29</c:v>
                </c:pt>
                <c:pt idx="9">
                  <c:v>29</c:v>
                </c:pt>
                <c:pt idx="10">
                  <c:v>25</c:v>
                </c:pt>
                <c:pt idx="11">
                  <c:v>39</c:v>
                </c:pt>
                <c:pt idx="12">
                  <c:v>24</c:v>
                </c:pt>
                <c:pt idx="13">
                  <c:v>22</c:v>
                </c:pt>
                <c:pt idx="14">
                  <c:v>26</c:v>
                </c:pt>
                <c:pt idx="15">
                  <c:v>54</c:v>
                </c:pt>
                <c:pt idx="16">
                  <c:v>42</c:v>
                </c:pt>
                <c:pt idx="17">
                  <c:v>14</c:v>
                </c:pt>
                <c:pt idx="18">
                  <c:v>17</c:v>
                </c:pt>
                <c:pt idx="19">
                  <c:v>24</c:v>
                </c:pt>
                <c:pt idx="20">
                  <c:v>25</c:v>
                </c:pt>
                <c:pt idx="21">
                  <c:v>31</c:v>
                </c:pt>
                <c:pt idx="22">
                  <c:v>55</c:v>
                </c:pt>
                <c:pt idx="23">
                  <c:v>59</c:v>
                </c:pt>
                <c:pt idx="24">
                  <c:v>48</c:v>
                </c:pt>
                <c:pt idx="25">
                  <c:v>60</c:v>
                </c:pt>
                <c:pt idx="26">
                  <c:v>70</c:v>
                </c:pt>
                <c:pt idx="27">
                  <c:v>40</c:v>
                </c:pt>
                <c:pt idx="28">
                  <c:v>68</c:v>
                </c:pt>
                <c:pt idx="29">
                  <c:v>24</c:v>
                </c:pt>
                <c:pt idx="30">
                  <c:v>47</c:v>
                </c:pt>
                <c:pt idx="31">
                  <c:v>21</c:v>
                </c:pt>
                <c:pt idx="32">
                  <c:v>9</c:v>
                </c:pt>
                <c:pt idx="33">
                  <c:v>18</c:v>
                </c:pt>
                <c:pt idx="34">
                  <c:v>28</c:v>
                </c:pt>
                <c:pt idx="35">
                  <c:v>27</c:v>
                </c:pt>
                <c:pt idx="36">
                  <c:v>49</c:v>
                </c:pt>
                <c:pt idx="37">
                  <c:v>39</c:v>
                </c:pt>
                <c:pt idx="38">
                  <c:v>36</c:v>
                </c:pt>
                <c:pt idx="39">
                  <c:v>61</c:v>
                </c:pt>
                <c:pt idx="40">
                  <c:v>44</c:v>
                </c:pt>
                <c:pt idx="41">
                  <c:v>46</c:v>
                </c:pt>
                <c:pt idx="42">
                  <c:v>56</c:v>
                </c:pt>
                <c:pt idx="43">
                  <c:v>22</c:v>
                </c:pt>
                <c:pt idx="44">
                  <c:v>22</c:v>
                </c:pt>
                <c:pt idx="45">
                  <c:v>57</c:v>
                </c:pt>
                <c:pt idx="46">
                  <c:v>50</c:v>
                </c:pt>
                <c:pt idx="47">
                  <c:v>48</c:v>
                </c:pt>
                <c:pt idx="48">
                  <c:v>20</c:v>
                </c:pt>
                <c:pt idx="49">
                  <c:v>43</c:v>
                </c:pt>
                <c:pt idx="50">
                  <c:v>27</c:v>
                </c:pt>
                <c:pt idx="51">
                  <c:v>32</c:v>
                </c:pt>
                <c:pt idx="52">
                  <c:v>33</c:v>
                </c:pt>
                <c:pt idx="53">
                  <c:v>32</c:v>
                </c:pt>
                <c:pt idx="54">
                  <c:v>33</c:v>
                </c:pt>
                <c:pt idx="55">
                  <c:v>27</c:v>
                </c:pt>
                <c:pt idx="56">
                  <c:v>35</c:v>
                </c:pt>
                <c:pt idx="57">
                  <c:v>33</c:v>
                </c:pt>
                <c:pt idx="58">
                  <c:v>52</c:v>
                </c:pt>
                <c:pt idx="59">
                  <c:v>68</c:v>
                </c:pt>
                <c:pt idx="60">
                  <c:v>54</c:v>
                </c:pt>
                <c:pt idx="61">
                  <c:v>75</c:v>
                </c:pt>
                <c:pt idx="62">
                  <c:v>66</c:v>
                </c:pt>
                <c:pt idx="63">
                  <c:v>71</c:v>
                </c:pt>
                <c:pt idx="64">
                  <c:v>54</c:v>
                </c:pt>
                <c:pt idx="65">
                  <c:v>72</c:v>
                </c:pt>
                <c:pt idx="66">
                  <c:v>41</c:v>
                </c:pt>
                <c:pt idx="67">
                  <c:v>51</c:v>
                </c:pt>
                <c:pt idx="68">
                  <c:v>44</c:v>
                </c:pt>
                <c:pt idx="69">
                  <c:v>34</c:v>
                </c:pt>
                <c:pt idx="70">
                  <c:v>22</c:v>
                </c:pt>
                <c:pt idx="71">
                  <c:v>16</c:v>
                </c:pt>
                <c:pt idx="72">
                  <c:v>16</c:v>
                </c:pt>
                <c:pt idx="73">
                  <c:v>22</c:v>
                </c:pt>
                <c:pt idx="74">
                  <c:v>23</c:v>
                </c:pt>
                <c:pt idx="75">
                  <c:v>19</c:v>
                </c:pt>
                <c:pt idx="76">
                  <c:v>23</c:v>
                </c:pt>
                <c:pt idx="77">
                  <c:v>30</c:v>
                </c:pt>
                <c:pt idx="78">
                  <c:v>37</c:v>
                </c:pt>
                <c:pt idx="79">
                  <c:v>29</c:v>
                </c:pt>
                <c:pt idx="80">
                  <c:v>47</c:v>
                </c:pt>
                <c:pt idx="81">
                  <c:v>31</c:v>
                </c:pt>
                <c:pt idx="82">
                  <c:v>45</c:v>
                </c:pt>
                <c:pt idx="83">
                  <c:v>41</c:v>
                </c:pt>
                <c:pt idx="84">
                  <c:v>44</c:v>
                </c:pt>
                <c:pt idx="85">
                  <c:v>56</c:v>
                </c:pt>
                <c:pt idx="86">
                  <c:v>57</c:v>
                </c:pt>
                <c:pt idx="87">
                  <c:v>45</c:v>
                </c:pt>
                <c:pt idx="88">
                  <c:v>31</c:v>
                </c:pt>
                <c:pt idx="89">
                  <c:v>22</c:v>
                </c:pt>
                <c:pt idx="90">
                  <c:v>8</c:v>
                </c:pt>
                <c:pt idx="91">
                  <c:v>17</c:v>
                </c:pt>
                <c:pt idx="92">
                  <c:v>24</c:v>
                </c:pt>
                <c:pt idx="93">
                  <c:v>24</c:v>
                </c:pt>
                <c:pt idx="94">
                  <c:v>18</c:v>
                </c:pt>
                <c:pt idx="95">
                  <c:v>15</c:v>
                </c:pt>
                <c:pt idx="96">
                  <c:v>38</c:v>
                </c:pt>
                <c:pt idx="97">
                  <c:v>34</c:v>
                </c:pt>
                <c:pt idx="98">
                  <c:v>44</c:v>
                </c:pt>
                <c:pt idx="99">
                  <c:v>26</c:v>
                </c:pt>
                <c:pt idx="100">
                  <c:v>25</c:v>
                </c:pt>
                <c:pt idx="101">
                  <c:v>51</c:v>
                </c:pt>
                <c:pt idx="102">
                  <c:v>33</c:v>
                </c:pt>
                <c:pt idx="103">
                  <c:v>31</c:v>
                </c:pt>
                <c:pt idx="104">
                  <c:v>52</c:v>
                </c:pt>
                <c:pt idx="105">
                  <c:v>88</c:v>
                </c:pt>
                <c:pt idx="106">
                  <c:v>80</c:v>
                </c:pt>
                <c:pt idx="107">
                  <c:v>32</c:v>
                </c:pt>
                <c:pt idx="108">
                  <c:v>31</c:v>
                </c:pt>
                <c:pt idx="109">
                  <c:v>23</c:v>
                </c:pt>
                <c:pt idx="110">
                  <c:v>29</c:v>
                </c:pt>
                <c:pt idx="111">
                  <c:v>30</c:v>
                </c:pt>
                <c:pt idx="112">
                  <c:v>42</c:v>
                </c:pt>
                <c:pt idx="113">
                  <c:v>28</c:v>
                </c:pt>
                <c:pt idx="114">
                  <c:v>35</c:v>
                </c:pt>
                <c:pt idx="115">
                  <c:v>21</c:v>
                </c:pt>
                <c:pt idx="116">
                  <c:v>21</c:v>
                </c:pt>
                <c:pt idx="117">
                  <c:v>38</c:v>
                </c:pt>
                <c:pt idx="118">
                  <c:v>39</c:v>
                </c:pt>
                <c:pt idx="119">
                  <c:v>38</c:v>
                </c:pt>
                <c:pt idx="120">
                  <c:v>24</c:v>
                </c:pt>
                <c:pt idx="121">
                  <c:v>40</c:v>
                </c:pt>
                <c:pt idx="122">
                  <c:v>0</c:v>
                </c:pt>
                <c:pt idx="123">
                  <c:v>0</c:v>
                </c:pt>
                <c:pt idx="124">
                  <c:v>12</c:v>
                </c:pt>
                <c:pt idx="125">
                  <c:v>11</c:v>
                </c:pt>
                <c:pt idx="126">
                  <c:v>9</c:v>
                </c:pt>
                <c:pt idx="127">
                  <c:v>9</c:v>
                </c:pt>
                <c:pt idx="128">
                  <c:v>18</c:v>
                </c:pt>
                <c:pt idx="129">
                  <c:v>14</c:v>
                </c:pt>
                <c:pt idx="130">
                  <c:v>10</c:v>
                </c:pt>
                <c:pt idx="131">
                  <c:v>10</c:v>
                </c:pt>
                <c:pt idx="132">
                  <c:v>10</c:v>
                </c:pt>
                <c:pt idx="133">
                  <c:v>10</c:v>
                </c:pt>
                <c:pt idx="134">
                  <c:v>5</c:v>
                </c:pt>
                <c:pt idx="135">
                  <c:v>5</c:v>
                </c:pt>
                <c:pt idx="136">
                  <c:v>6</c:v>
                </c:pt>
                <c:pt idx="137">
                  <c:v>9</c:v>
                </c:pt>
                <c:pt idx="138">
                  <c:v>7</c:v>
                </c:pt>
                <c:pt idx="139">
                  <c:v>7</c:v>
                </c:pt>
                <c:pt idx="140">
                  <c:v>6</c:v>
                </c:pt>
                <c:pt idx="141">
                  <c:v>10</c:v>
                </c:pt>
                <c:pt idx="142">
                  <c:v>19</c:v>
                </c:pt>
                <c:pt idx="143">
                  <c:v>11</c:v>
                </c:pt>
                <c:pt idx="144">
                  <c:v>6</c:v>
                </c:pt>
                <c:pt idx="145">
                  <c:v>7</c:v>
                </c:pt>
                <c:pt idx="146">
                  <c:v>8</c:v>
                </c:pt>
                <c:pt idx="147">
                  <c:v>10</c:v>
                </c:pt>
                <c:pt idx="148">
                  <c:v>11</c:v>
                </c:pt>
                <c:pt idx="149">
                  <c:v>12</c:v>
                </c:pt>
                <c:pt idx="150">
                  <c:v>15</c:v>
                </c:pt>
                <c:pt idx="151">
                  <c:v>19</c:v>
                </c:pt>
                <c:pt idx="152">
                  <c:v>7</c:v>
                </c:pt>
                <c:pt idx="153">
                  <c:v>5</c:v>
                </c:pt>
                <c:pt idx="154">
                  <c:v>7</c:v>
                </c:pt>
                <c:pt idx="155">
                  <c:v>9</c:v>
                </c:pt>
                <c:pt idx="156">
                  <c:v>10</c:v>
                </c:pt>
                <c:pt idx="157">
                  <c:v>11</c:v>
                </c:pt>
                <c:pt idx="158">
                  <c:v>15</c:v>
                </c:pt>
                <c:pt idx="159">
                  <c:v>8</c:v>
                </c:pt>
                <c:pt idx="160">
                  <c:v>14</c:v>
                </c:pt>
                <c:pt idx="161">
                  <c:v>11</c:v>
                </c:pt>
                <c:pt idx="162">
                  <c:v>9</c:v>
                </c:pt>
                <c:pt idx="163">
                  <c:v>8</c:v>
                </c:pt>
                <c:pt idx="164">
                  <c:v>7</c:v>
                </c:pt>
                <c:pt idx="165">
                  <c:v>7</c:v>
                </c:pt>
                <c:pt idx="166">
                  <c:v>7</c:v>
                </c:pt>
                <c:pt idx="167">
                  <c:v>7</c:v>
                </c:pt>
                <c:pt idx="168">
                  <c:v>9</c:v>
                </c:pt>
                <c:pt idx="169">
                  <c:v>8</c:v>
                </c:pt>
                <c:pt idx="170">
                  <c:v>13</c:v>
                </c:pt>
                <c:pt idx="171">
                  <c:v>14</c:v>
                </c:pt>
                <c:pt idx="172">
                  <c:v>4</c:v>
                </c:pt>
                <c:pt idx="173">
                  <c:v>4</c:v>
                </c:pt>
                <c:pt idx="174">
                  <c:v>0</c:v>
                </c:pt>
                <c:pt idx="175">
                  <c:v>0</c:v>
                </c:pt>
                <c:pt idx="176">
                  <c:v>7</c:v>
                </c:pt>
                <c:pt idx="177">
                  <c:v>5</c:v>
                </c:pt>
                <c:pt idx="178">
                  <c:v>6</c:v>
                </c:pt>
                <c:pt idx="179">
                  <c:v>11</c:v>
                </c:pt>
                <c:pt idx="180">
                  <c:v>7</c:v>
                </c:pt>
                <c:pt idx="181">
                  <c:v>15</c:v>
                </c:pt>
                <c:pt idx="182">
                  <c:v>5</c:v>
                </c:pt>
                <c:pt idx="183">
                  <c:v>7</c:v>
                </c:pt>
                <c:pt idx="184">
                  <c:v>8</c:v>
                </c:pt>
                <c:pt idx="185">
                  <c:v>10</c:v>
                </c:pt>
                <c:pt idx="186">
                  <c:v>7</c:v>
                </c:pt>
                <c:pt idx="187">
                  <c:v>6</c:v>
                </c:pt>
                <c:pt idx="188">
                  <c:v>6</c:v>
                </c:pt>
                <c:pt idx="189">
                  <c:v>8</c:v>
                </c:pt>
                <c:pt idx="190">
                  <c:v>8</c:v>
                </c:pt>
                <c:pt idx="191">
                  <c:v>6</c:v>
                </c:pt>
                <c:pt idx="192">
                  <c:v>6</c:v>
                </c:pt>
                <c:pt idx="193">
                  <c:v>6</c:v>
                </c:pt>
                <c:pt idx="194">
                  <c:v>8</c:v>
                </c:pt>
                <c:pt idx="195">
                  <c:v>5</c:v>
                </c:pt>
                <c:pt idx="196">
                  <c:v>7</c:v>
                </c:pt>
                <c:pt idx="197">
                  <c:v>8</c:v>
                </c:pt>
                <c:pt idx="198">
                  <c:v>7</c:v>
                </c:pt>
                <c:pt idx="199">
                  <c:v>6</c:v>
                </c:pt>
                <c:pt idx="200">
                  <c:v>7</c:v>
                </c:pt>
                <c:pt idx="201">
                  <c:v>9</c:v>
                </c:pt>
                <c:pt idx="202">
                  <c:v>6</c:v>
                </c:pt>
                <c:pt idx="203">
                  <c:v>9</c:v>
                </c:pt>
                <c:pt idx="204">
                  <c:v>8</c:v>
                </c:pt>
                <c:pt idx="205">
                  <c:v>9</c:v>
                </c:pt>
                <c:pt idx="206">
                  <c:v>7</c:v>
                </c:pt>
                <c:pt idx="207">
                  <c:v>9</c:v>
                </c:pt>
                <c:pt idx="208">
                  <c:v>14</c:v>
                </c:pt>
                <c:pt idx="209">
                  <c:v>107</c:v>
                </c:pt>
                <c:pt idx="210">
                  <c:v>85</c:v>
                </c:pt>
                <c:pt idx="211">
                  <c:v>0</c:v>
                </c:pt>
                <c:pt idx="212">
                  <c:v>0</c:v>
                </c:pt>
                <c:pt idx="213">
                  <c:v>63</c:v>
                </c:pt>
                <c:pt idx="214">
                  <c:v>0</c:v>
                </c:pt>
                <c:pt idx="215">
                  <c:v>0</c:v>
                </c:pt>
                <c:pt idx="216">
                  <c:v>0</c:v>
                </c:pt>
                <c:pt idx="217">
                  <c:v>0</c:v>
                </c:pt>
                <c:pt idx="218">
                  <c:v>1</c:v>
                </c:pt>
                <c:pt idx="219">
                  <c:v>7</c:v>
                </c:pt>
                <c:pt idx="220">
                  <c:v>12</c:v>
                </c:pt>
                <c:pt idx="221">
                  <c:v>9</c:v>
                </c:pt>
                <c:pt idx="222">
                  <c:v>5</c:v>
                </c:pt>
                <c:pt idx="223">
                  <c:v>5</c:v>
                </c:pt>
                <c:pt idx="224">
                  <c:v>13</c:v>
                </c:pt>
                <c:pt idx="225">
                  <c:v>8</c:v>
                </c:pt>
                <c:pt idx="226">
                  <c:v>4</c:v>
                </c:pt>
                <c:pt idx="227">
                  <c:v>6</c:v>
                </c:pt>
                <c:pt idx="228">
                  <c:v>7</c:v>
                </c:pt>
                <c:pt idx="229">
                  <c:v>8</c:v>
                </c:pt>
                <c:pt idx="230">
                  <c:v>17</c:v>
                </c:pt>
                <c:pt idx="231">
                  <c:v>8</c:v>
                </c:pt>
                <c:pt idx="232">
                  <c:v>9</c:v>
                </c:pt>
                <c:pt idx="233">
                  <c:v>8</c:v>
                </c:pt>
                <c:pt idx="234">
                  <c:v>11</c:v>
                </c:pt>
                <c:pt idx="235">
                  <c:v>12</c:v>
                </c:pt>
                <c:pt idx="236">
                  <c:v>6</c:v>
                </c:pt>
                <c:pt idx="237">
                  <c:v>2</c:v>
                </c:pt>
                <c:pt idx="238">
                  <c:v>4</c:v>
                </c:pt>
                <c:pt idx="239">
                  <c:v>7</c:v>
                </c:pt>
                <c:pt idx="240">
                  <c:v>8</c:v>
                </c:pt>
                <c:pt idx="241">
                  <c:v>8</c:v>
                </c:pt>
                <c:pt idx="242">
                  <c:v>7</c:v>
                </c:pt>
                <c:pt idx="243">
                  <c:v>13</c:v>
                </c:pt>
                <c:pt idx="244">
                  <c:v>12</c:v>
                </c:pt>
                <c:pt idx="245">
                  <c:v>10</c:v>
                </c:pt>
                <c:pt idx="246">
                  <c:v>7</c:v>
                </c:pt>
                <c:pt idx="247">
                  <c:v>7</c:v>
                </c:pt>
                <c:pt idx="248">
                  <c:v>10</c:v>
                </c:pt>
                <c:pt idx="249">
                  <c:v>13</c:v>
                </c:pt>
                <c:pt idx="250">
                  <c:v>5</c:v>
                </c:pt>
                <c:pt idx="251">
                  <c:v>6</c:v>
                </c:pt>
                <c:pt idx="252">
                  <c:v>7</c:v>
                </c:pt>
                <c:pt idx="253">
                  <c:v>7</c:v>
                </c:pt>
                <c:pt idx="254">
                  <c:v>8</c:v>
                </c:pt>
                <c:pt idx="255">
                  <c:v>11</c:v>
                </c:pt>
                <c:pt idx="256">
                  <c:v>12</c:v>
                </c:pt>
                <c:pt idx="257">
                  <c:v>6</c:v>
                </c:pt>
                <c:pt idx="258">
                  <c:v>6</c:v>
                </c:pt>
                <c:pt idx="259">
                  <c:v>8</c:v>
                </c:pt>
                <c:pt idx="260">
                  <c:v>8</c:v>
                </c:pt>
                <c:pt idx="261">
                  <c:v>11</c:v>
                </c:pt>
                <c:pt idx="262">
                  <c:v>0</c:v>
                </c:pt>
                <c:pt idx="263">
                  <c:v>0</c:v>
                </c:pt>
                <c:pt idx="264">
                  <c:v>15</c:v>
                </c:pt>
                <c:pt idx="265">
                  <c:v>11</c:v>
                </c:pt>
                <c:pt idx="266">
                  <c:v>4</c:v>
                </c:pt>
                <c:pt idx="267">
                  <c:v>7</c:v>
                </c:pt>
                <c:pt idx="268">
                  <c:v>16</c:v>
                </c:pt>
                <c:pt idx="269">
                  <c:v>19</c:v>
                </c:pt>
                <c:pt idx="270">
                  <c:v>24</c:v>
                </c:pt>
                <c:pt idx="271">
                  <c:v>16</c:v>
                </c:pt>
                <c:pt idx="272">
                  <c:v>14</c:v>
                </c:pt>
                <c:pt idx="273">
                  <c:v>38</c:v>
                </c:pt>
                <c:pt idx="274">
                  <c:v>16</c:v>
                </c:pt>
                <c:pt idx="275">
                  <c:v>16</c:v>
                </c:pt>
                <c:pt idx="276">
                  <c:v>21</c:v>
                </c:pt>
                <c:pt idx="277">
                  <c:v>33</c:v>
                </c:pt>
                <c:pt idx="278">
                  <c:v>57</c:v>
                </c:pt>
                <c:pt idx="279">
                  <c:v>68</c:v>
                </c:pt>
                <c:pt idx="280">
                  <c:v>49</c:v>
                </c:pt>
                <c:pt idx="281">
                  <c:v>44</c:v>
                </c:pt>
                <c:pt idx="282">
                  <c:v>61</c:v>
                </c:pt>
                <c:pt idx="283">
                  <c:v>50</c:v>
                </c:pt>
                <c:pt idx="284">
                  <c:v>58</c:v>
                </c:pt>
                <c:pt idx="285">
                  <c:v>52</c:v>
                </c:pt>
                <c:pt idx="286">
                  <c:v>47</c:v>
                </c:pt>
                <c:pt idx="287">
                  <c:v>56</c:v>
                </c:pt>
                <c:pt idx="288">
                  <c:v>62</c:v>
                </c:pt>
                <c:pt idx="289">
                  <c:v>71</c:v>
                </c:pt>
                <c:pt idx="290">
                  <c:v>77</c:v>
                </c:pt>
                <c:pt idx="291">
                  <c:v>55</c:v>
                </c:pt>
                <c:pt idx="292">
                  <c:v>51</c:v>
                </c:pt>
                <c:pt idx="293">
                  <c:v>16</c:v>
                </c:pt>
                <c:pt idx="294">
                  <c:v>23</c:v>
                </c:pt>
                <c:pt idx="295">
                  <c:v>22</c:v>
                </c:pt>
                <c:pt idx="296">
                  <c:v>6</c:v>
                </c:pt>
                <c:pt idx="297">
                  <c:v>0</c:v>
                </c:pt>
                <c:pt idx="298">
                  <c:v>27</c:v>
                </c:pt>
                <c:pt idx="299">
                  <c:v>24</c:v>
                </c:pt>
                <c:pt idx="300">
                  <c:v>26</c:v>
                </c:pt>
                <c:pt idx="301">
                  <c:v>21</c:v>
                </c:pt>
                <c:pt idx="302">
                  <c:v>19</c:v>
                </c:pt>
                <c:pt idx="303">
                  <c:v>21</c:v>
                </c:pt>
                <c:pt idx="304">
                  <c:v>55</c:v>
                </c:pt>
                <c:pt idx="305">
                  <c:v>59</c:v>
                </c:pt>
                <c:pt idx="306">
                  <c:v>46</c:v>
                </c:pt>
                <c:pt idx="307">
                  <c:v>45</c:v>
                </c:pt>
                <c:pt idx="308">
                  <c:v>47</c:v>
                </c:pt>
                <c:pt idx="309">
                  <c:v>52</c:v>
                </c:pt>
                <c:pt idx="310">
                  <c:v>46</c:v>
                </c:pt>
                <c:pt idx="311">
                  <c:v>53</c:v>
                </c:pt>
                <c:pt idx="312">
                  <c:v>64</c:v>
                </c:pt>
                <c:pt idx="313">
                  <c:v>68</c:v>
                </c:pt>
                <c:pt idx="314">
                  <c:v>74</c:v>
                </c:pt>
                <c:pt idx="315">
                  <c:v>46</c:v>
                </c:pt>
                <c:pt idx="316">
                  <c:v>53</c:v>
                </c:pt>
                <c:pt idx="317">
                  <c:v>18</c:v>
                </c:pt>
                <c:pt idx="318">
                  <c:v>39</c:v>
                </c:pt>
                <c:pt idx="319">
                  <c:v>20</c:v>
                </c:pt>
                <c:pt idx="320">
                  <c:v>21</c:v>
                </c:pt>
                <c:pt idx="321">
                  <c:v>34</c:v>
                </c:pt>
                <c:pt idx="322">
                  <c:v>29</c:v>
                </c:pt>
                <c:pt idx="323">
                  <c:v>22</c:v>
                </c:pt>
                <c:pt idx="324">
                  <c:v>27</c:v>
                </c:pt>
                <c:pt idx="325">
                  <c:v>25</c:v>
                </c:pt>
                <c:pt idx="326">
                  <c:v>30</c:v>
                </c:pt>
                <c:pt idx="327">
                  <c:v>35</c:v>
                </c:pt>
                <c:pt idx="328">
                  <c:v>26</c:v>
                </c:pt>
                <c:pt idx="329">
                  <c:v>9</c:v>
                </c:pt>
                <c:pt idx="330">
                  <c:v>16</c:v>
                </c:pt>
                <c:pt idx="331">
                  <c:v>33</c:v>
                </c:pt>
                <c:pt idx="332">
                  <c:v>96</c:v>
                </c:pt>
                <c:pt idx="333">
                  <c:v>74</c:v>
                </c:pt>
                <c:pt idx="334">
                  <c:v>83</c:v>
                </c:pt>
                <c:pt idx="335">
                  <c:v>64</c:v>
                </c:pt>
                <c:pt idx="336">
                  <c:v>79</c:v>
                </c:pt>
                <c:pt idx="337">
                  <c:v>40</c:v>
                </c:pt>
                <c:pt idx="338">
                  <c:v>28</c:v>
                </c:pt>
                <c:pt idx="339">
                  <c:v>49</c:v>
                </c:pt>
                <c:pt idx="340">
                  <c:v>64</c:v>
                </c:pt>
                <c:pt idx="341">
                  <c:v>32</c:v>
                </c:pt>
                <c:pt idx="342">
                  <c:v>29</c:v>
                </c:pt>
                <c:pt idx="343">
                  <c:v>6</c:v>
                </c:pt>
                <c:pt idx="344">
                  <c:v>10</c:v>
                </c:pt>
                <c:pt idx="345">
                  <c:v>18</c:v>
                </c:pt>
                <c:pt idx="346">
                  <c:v>32</c:v>
                </c:pt>
                <c:pt idx="347">
                  <c:v>30</c:v>
                </c:pt>
                <c:pt idx="348">
                  <c:v>22</c:v>
                </c:pt>
                <c:pt idx="349">
                  <c:v>36</c:v>
                </c:pt>
                <c:pt idx="350">
                  <c:v>47</c:v>
                </c:pt>
                <c:pt idx="351">
                  <c:v>53</c:v>
                </c:pt>
                <c:pt idx="352">
                  <c:v>60</c:v>
                </c:pt>
                <c:pt idx="353">
                  <c:v>62</c:v>
                </c:pt>
                <c:pt idx="354">
                  <c:v>94</c:v>
                </c:pt>
                <c:pt idx="355">
                  <c:v>14</c:v>
                </c:pt>
                <c:pt idx="356">
                  <c:v>14</c:v>
                </c:pt>
                <c:pt idx="357">
                  <c:v>13</c:v>
                </c:pt>
                <c:pt idx="358">
                  <c:v>7</c:v>
                </c:pt>
                <c:pt idx="359">
                  <c:v>11</c:v>
                </c:pt>
                <c:pt idx="360">
                  <c:v>22</c:v>
                </c:pt>
                <c:pt idx="361">
                  <c:v>14</c:v>
                </c:pt>
                <c:pt idx="362">
                  <c:v>16</c:v>
                </c:pt>
                <c:pt idx="363">
                  <c:v>11</c:v>
                </c:pt>
                <c:pt idx="364">
                  <c:v>7</c:v>
                </c:pt>
              </c:numCache>
            </c:numRef>
          </c:val>
          <c:smooth val="0"/>
          <c:extLst>
            <c:ext xmlns:c16="http://schemas.microsoft.com/office/drawing/2014/chart" uri="{C3380CC4-5D6E-409C-BE32-E72D297353CC}">
              <c16:uniqueId val="{00000006-45F3-46BF-BD60-FF320CD4C9F4}"/>
            </c:ext>
          </c:extLst>
        </c:ser>
        <c:dLbls>
          <c:showLegendKey val="0"/>
          <c:showVal val="0"/>
          <c:showCatName val="0"/>
          <c:showSerName val="0"/>
          <c:showPercent val="0"/>
          <c:showBubbleSize val="0"/>
        </c:dLbls>
        <c:smooth val="0"/>
        <c:axId val="500930760"/>
        <c:axId val="500931416"/>
      </c:lineChart>
      <c:dateAx>
        <c:axId val="500930760"/>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00931416"/>
        <c:crosses val="autoZero"/>
        <c:auto val="1"/>
        <c:lblOffset val="100"/>
        <c:baseTimeUnit val="days"/>
      </c:dateAx>
      <c:valAx>
        <c:axId val="500931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00930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lineChart>
        <c:grouping val="standard"/>
        <c:varyColors val="0"/>
        <c:ser>
          <c:idx val="0"/>
          <c:order val="0"/>
          <c:tx>
            <c:strRef>
              <c:f>Munka1!$B$3</c:f>
              <c:strCache>
                <c:ptCount val="1"/>
                <c:pt idx="0">
                  <c:v>NO2 (µg/m3)</c:v>
                </c:pt>
              </c:strCache>
            </c:strRef>
          </c:tx>
          <c:spPr>
            <a:ln w="28575" cap="rnd">
              <a:solidFill>
                <a:schemeClr val="accent1"/>
              </a:solidFill>
              <a:round/>
            </a:ln>
            <a:effectLst/>
          </c:spPr>
          <c:marker>
            <c:symbol val="none"/>
          </c:marker>
          <c:cat>
            <c:numRef>
              <c:f>Munka1!$A$4:$A$368</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Munka1!$B$4:$B$368</c:f>
              <c:numCache>
                <c:formatCode>General</c:formatCode>
                <c:ptCount val="365"/>
                <c:pt idx="0">
                  <c:v>0</c:v>
                </c:pt>
                <c:pt idx="1">
                  <c:v>0</c:v>
                </c:pt>
                <c:pt idx="2">
                  <c:v>0</c:v>
                </c:pt>
                <c:pt idx="3">
                  <c:v>0</c:v>
                </c:pt>
                <c:pt idx="4">
                  <c:v>0</c:v>
                </c:pt>
                <c:pt idx="5">
                  <c:v>0</c:v>
                </c:pt>
                <c:pt idx="6">
                  <c:v>0</c:v>
                </c:pt>
                <c:pt idx="7">
                  <c:v>0</c:v>
                </c:pt>
                <c:pt idx="8">
                  <c:v>19</c:v>
                </c:pt>
                <c:pt idx="9">
                  <c:v>23</c:v>
                </c:pt>
                <c:pt idx="10">
                  <c:v>19</c:v>
                </c:pt>
                <c:pt idx="11">
                  <c:v>34</c:v>
                </c:pt>
                <c:pt idx="12">
                  <c:v>25</c:v>
                </c:pt>
                <c:pt idx="13">
                  <c:v>18</c:v>
                </c:pt>
                <c:pt idx="14">
                  <c:v>14</c:v>
                </c:pt>
                <c:pt idx="15">
                  <c:v>16</c:v>
                </c:pt>
                <c:pt idx="16">
                  <c:v>25</c:v>
                </c:pt>
                <c:pt idx="17">
                  <c:v>11</c:v>
                </c:pt>
                <c:pt idx="18">
                  <c:v>21</c:v>
                </c:pt>
                <c:pt idx="19">
                  <c:v>10</c:v>
                </c:pt>
                <c:pt idx="20">
                  <c:v>10</c:v>
                </c:pt>
                <c:pt idx="21">
                  <c:v>7</c:v>
                </c:pt>
                <c:pt idx="22">
                  <c:v>9</c:v>
                </c:pt>
                <c:pt idx="23">
                  <c:v>24</c:v>
                </c:pt>
                <c:pt idx="24">
                  <c:v>2</c:v>
                </c:pt>
                <c:pt idx="25">
                  <c:v>32</c:v>
                </c:pt>
                <c:pt idx="26">
                  <c:v>3</c:v>
                </c:pt>
                <c:pt idx="27">
                  <c:v>13</c:v>
                </c:pt>
                <c:pt idx="28">
                  <c:v>1</c:v>
                </c:pt>
                <c:pt idx="29">
                  <c:v>18</c:v>
                </c:pt>
                <c:pt idx="30">
                  <c:v>23</c:v>
                </c:pt>
                <c:pt idx="31">
                  <c:v>12</c:v>
                </c:pt>
                <c:pt idx="32">
                  <c:v>31</c:v>
                </c:pt>
                <c:pt idx="33">
                  <c:v>5</c:v>
                </c:pt>
                <c:pt idx="34">
                  <c:v>20</c:v>
                </c:pt>
                <c:pt idx="35">
                  <c:v>22</c:v>
                </c:pt>
                <c:pt idx="36">
                  <c:v>16</c:v>
                </c:pt>
                <c:pt idx="37">
                  <c:v>10</c:v>
                </c:pt>
                <c:pt idx="38">
                  <c:v>28</c:v>
                </c:pt>
                <c:pt idx="39">
                  <c:v>25</c:v>
                </c:pt>
                <c:pt idx="40">
                  <c:v>30</c:v>
                </c:pt>
                <c:pt idx="41">
                  <c:v>0</c:v>
                </c:pt>
                <c:pt idx="42">
                  <c:v>33</c:v>
                </c:pt>
                <c:pt idx="43">
                  <c:v>24</c:v>
                </c:pt>
                <c:pt idx="44">
                  <c:v>15</c:v>
                </c:pt>
                <c:pt idx="45">
                  <c:v>23</c:v>
                </c:pt>
                <c:pt idx="46">
                  <c:v>24</c:v>
                </c:pt>
                <c:pt idx="47">
                  <c:v>21</c:v>
                </c:pt>
                <c:pt idx="48">
                  <c:v>30</c:v>
                </c:pt>
                <c:pt idx="49">
                  <c:v>28</c:v>
                </c:pt>
                <c:pt idx="50">
                  <c:v>34</c:v>
                </c:pt>
                <c:pt idx="51">
                  <c:v>26</c:v>
                </c:pt>
                <c:pt idx="52">
                  <c:v>26</c:v>
                </c:pt>
                <c:pt idx="53">
                  <c:v>3</c:v>
                </c:pt>
                <c:pt idx="54">
                  <c:v>23</c:v>
                </c:pt>
                <c:pt idx="55">
                  <c:v>16</c:v>
                </c:pt>
                <c:pt idx="56">
                  <c:v>30</c:v>
                </c:pt>
                <c:pt idx="57">
                  <c:v>18</c:v>
                </c:pt>
                <c:pt idx="58">
                  <c:v>17</c:v>
                </c:pt>
                <c:pt idx="59">
                  <c:v>26</c:v>
                </c:pt>
                <c:pt idx="60">
                  <c:v>26</c:v>
                </c:pt>
                <c:pt idx="61">
                  <c:v>20</c:v>
                </c:pt>
                <c:pt idx="62">
                  <c:v>18</c:v>
                </c:pt>
                <c:pt idx="63">
                  <c:v>28</c:v>
                </c:pt>
                <c:pt idx="64">
                  <c:v>5</c:v>
                </c:pt>
                <c:pt idx="65">
                  <c:v>11</c:v>
                </c:pt>
                <c:pt idx="66">
                  <c:v>12</c:v>
                </c:pt>
                <c:pt idx="67">
                  <c:v>26</c:v>
                </c:pt>
                <c:pt idx="68">
                  <c:v>21</c:v>
                </c:pt>
                <c:pt idx="69">
                  <c:v>10</c:v>
                </c:pt>
                <c:pt idx="70">
                  <c:v>3</c:v>
                </c:pt>
                <c:pt idx="71">
                  <c:v>6</c:v>
                </c:pt>
                <c:pt idx="72">
                  <c:v>19</c:v>
                </c:pt>
                <c:pt idx="73">
                  <c:v>30</c:v>
                </c:pt>
                <c:pt idx="74">
                  <c:v>22</c:v>
                </c:pt>
                <c:pt idx="75">
                  <c:v>27</c:v>
                </c:pt>
                <c:pt idx="76">
                  <c:v>14</c:v>
                </c:pt>
                <c:pt idx="77">
                  <c:v>20</c:v>
                </c:pt>
                <c:pt idx="78">
                  <c:v>20</c:v>
                </c:pt>
                <c:pt idx="79">
                  <c:v>22</c:v>
                </c:pt>
                <c:pt idx="80">
                  <c:v>19</c:v>
                </c:pt>
                <c:pt idx="81">
                  <c:v>5</c:v>
                </c:pt>
                <c:pt idx="82">
                  <c:v>18</c:v>
                </c:pt>
                <c:pt idx="83">
                  <c:v>5</c:v>
                </c:pt>
                <c:pt idx="84">
                  <c:v>8</c:v>
                </c:pt>
                <c:pt idx="85">
                  <c:v>24</c:v>
                </c:pt>
                <c:pt idx="86">
                  <c:v>25</c:v>
                </c:pt>
                <c:pt idx="87">
                  <c:v>27</c:v>
                </c:pt>
                <c:pt idx="88">
                  <c:v>25</c:v>
                </c:pt>
                <c:pt idx="89">
                  <c:v>17</c:v>
                </c:pt>
                <c:pt idx="90">
                  <c:v>9</c:v>
                </c:pt>
                <c:pt idx="91">
                  <c:v>23</c:v>
                </c:pt>
                <c:pt idx="92">
                  <c:v>18</c:v>
                </c:pt>
                <c:pt idx="93">
                  <c:v>6</c:v>
                </c:pt>
                <c:pt idx="94">
                  <c:v>17</c:v>
                </c:pt>
                <c:pt idx="95">
                  <c:v>15</c:v>
                </c:pt>
                <c:pt idx="96">
                  <c:v>21</c:v>
                </c:pt>
                <c:pt idx="97">
                  <c:v>17</c:v>
                </c:pt>
                <c:pt idx="98">
                  <c:v>16</c:v>
                </c:pt>
                <c:pt idx="99">
                  <c:v>29</c:v>
                </c:pt>
                <c:pt idx="100">
                  <c:v>24</c:v>
                </c:pt>
                <c:pt idx="101">
                  <c:v>33</c:v>
                </c:pt>
                <c:pt idx="102">
                  <c:v>26</c:v>
                </c:pt>
                <c:pt idx="103">
                  <c:v>18</c:v>
                </c:pt>
                <c:pt idx="104">
                  <c:v>22</c:v>
                </c:pt>
                <c:pt idx="105">
                  <c:v>23</c:v>
                </c:pt>
                <c:pt idx="106">
                  <c:v>17</c:v>
                </c:pt>
                <c:pt idx="107">
                  <c:v>21</c:v>
                </c:pt>
                <c:pt idx="108">
                  <c:v>22</c:v>
                </c:pt>
                <c:pt idx="109">
                  <c:v>22</c:v>
                </c:pt>
                <c:pt idx="110">
                  <c:v>21</c:v>
                </c:pt>
                <c:pt idx="111">
                  <c:v>18</c:v>
                </c:pt>
                <c:pt idx="112">
                  <c:v>24</c:v>
                </c:pt>
                <c:pt idx="113">
                  <c:v>13</c:v>
                </c:pt>
                <c:pt idx="114">
                  <c:v>17</c:v>
                </c:pt>
                <c:pt idx="115">
                  <c:v>25</c:v>
                </c:pt>
                <c:pt idx="116">
                  <c:v>20</c:v>
                </c:pt>
                <c:pt idx="117">
                  <c:v>12</c:v>
                </c:pt>
                <c:pt idx="118">
                  <c:v>19</c:v>
                </c:pt>
                <c:pt idx="119">
                  <c:v>18</c:v>
                </c:pt>
                <c:pt idx="120">
                  <c:v>11</c:v>
                </c:pt>
                <c:pt idx="121">
                  <c:v>8</c:v>
                </c:pt>
                <c:pt idx="122">
                  <c:v>12</c:v>
                </c:pt>
                <c:pt idx="123">
                  <c:v>9</c:v>
                </c:pt>
                <c:pt idx="124">
                  <c:v>7</c:v>
                </c:pt>
                <c:pt idx="125">
                  <c:v>12</c:v>
                </c:pt>
                <c:pt idx="126">
                  <c:v>13</c:v>
                </c:pt>
                <c:pt idx="127">
                  <c:v>11</c:v>
                </c:pt>
                <c:pt idx="128">
                  <c:v>13</c:v>
                </c:pt>
                <c:pt idx="129">
                  <c:v>14</c:v>
                </c:pt>
                <c:pt idx="130">
                  <c:v>15</c:v>
                </c:pt>
                <c:pt idx="131">
                  <c:v>11</c:v>
                </c:pt>
                <c:pt idx="132">
                  <c:v>8</c:v>
                </c:pt>
                <c:pt idx="133">
                  <c:v>16</c:v>
                </c:pt>
                <c:pt idx="134">
                  <c:v>0</c:v>
                </c:pt>
                <c:pt idx="135">
                  <c:v>10</c:v>
                </c:pt>
                <c:pt idx="136">
                  <c:v>31</c:v>
                </c:pt>
                <c:pt idx="137">
                  <c:v>24</c:v>
                </c:pt>
                <c:pt idx="138">
                  <c:v>9</c:v>
                </c:pt>
                <c:pt idx="139">
                  <c:v>13</c:v>
                </c:pt>
                <c:pt idx="140">
                  <c:v>15</c:v>
                </c:pt>
                <c:pt idx="141">
                  <c:v>0</c:v>
                </c:pt>
                <c:pt idx="142">
                  <c:v>15</c:v>
                </c:pt>
                <c:pt idx="143">
                  <c:v>18</c:v>
                </c:pt>
                <c:pt idx="144">
                  <c:v>16</c:v>
                </c:pt>
                <c:pt idx="145">
                  <c:v>12</c:v>
                </c:pt>
                <c:pt idx="146">
                  <c:v>16</c:v>
                </c:pt>
                <c:pt idx="147">
                  <c:v>16</c:v>
                </c:pt>
                <c:pt idx="148">
                  <c:v>17</c:v>
                </c:pt>
                <c:pt idx="149">
                  <c:v>18</c:v>
                </c:pt>
                <c:pt idx="150">
                  <c:v>25</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numCache>
            </c:numRef>
          </c:val>
          <c:smooth val="0"/>
          <c:extLst>
            <c:ext xmlns:c16="http://schemas.microsoft.com/office/drawing/2014/chart" uri="{C3380CC4-5D6E-409C-BE32-E72D297353CC}">
              <c16:uniqueId val="{00000000-7FED-4B91-B487-C2F813F294BE}"/>
            </c:ext>
          </c:extLst>
        </c:ser>
        <c:dLbls>
          <c:showLegendKey val="0"/>
          <c:showVal val="0"/>
          <c:showCatName val="0"/>
          <c:showSerName val="0"/>
          <c:showPercent val="0"/>
          <c:showBubbleSize val="0"/>
        </c:dLbls>
        <c:smooth val="0"/>
        <c:axId val="406162032"/>
        <c:axId val="406160720"/>
      </c:lineChart>
      <c:dateAx>
        <c:axId val="406162032"/>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6160720"/>
        <c:crosses val="autoZero"/>
        <c:auto val="1"/>
        <c:lblOffset val="100"/>
        <c:baseTimeUnit val="days"/>
      </c:dateAx>
      <c:valAx>
        <c:axId val="406160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6162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Pages>
  <Words>5753</Words>
  <Characters>39703</Characters>
  <Application>Microsoft Office Word</Application>
  <DocSecurity>0</DocSecurity>
  <Lines>330</Lines>
  <Paragraphs>90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45366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Zsolt Kovács</dc:creator>
  <cp:keywords/>
  <dc:description/>
  <cp:lastModifiedBy>Ági</cp:lastModifiedBy>
  <cp:revision>6</cp:revision>
  <dcterms:created xsi:type="dcterms:W3CDTF">2019-03-13T14:50:00Z</dcterms:created>
  <dcterms:modified xsi:type="dcterms:W3CDTF">2019-03-21T13:57:00Z</dcterms:modified>
</cp:coreProperties>
</file>